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D1A76" w14:textId="77777777" w:rsidR="00CC700E" w:rsidRDefault="00D10109" w:rsidP="00C641F2">
      <w:pPr>
        <w:pStyle w:val="Default"/>
        <w:spacing w:line="5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11</w:t>
      </w:r>
      <w:r w:rsidR="001366A1">
        <w:rPr>
          <w:sz w:val="32"/>
          <w:szCs w:val="32"/>
        </w:rPr>
        <w:t>1</w:t>
      </w:r>
      <w:r w:rsidR="001608AA">
        <w:rPr>
          <w:rFonts w:hint="eastAsia"/>
          <w:sz w:val="32"/>
          <w:szCs w:val="32"/>
        </w:rPr>
        <w:t>學</w:t>
      </w:r>
      <w:r w:rsidR="000A396A">
        <w:rPr>
          <w:rFonts w:hint="eastAsia"/>
          <w:sz w:val="32"/>
          <w:szCs w:val="32"/>
        </w:rPr>
        <w:t>年度</w:t>
      </w:r>
      <w:r w:rsidR="001608AA">
        <w:rPr>
          <w:rFonts w:hint="eastAsia"/>
          <w:sz w:val="32"/>
          <w:szCs w:val="32"/>
        </w:rPr>
        <w:t>學</w:t>
      </w:r>
      <w:r w:rsidR="001608AA">
        <w:rPr>
          <w:sz w:val="32"/>
          <w:szCs w:val="32"/>
        </w:rPr>
        <w:t>習區完全免試國中提升學習</w:t>
      </w:r>
      <w:r w:rsidR="001608AA">
        <w:rPr>
          <w:rFonts w:hint="eastAsia"/>
          <w:sz w:val="32"/>
          <w:szCs w:val="32"/>
        </w:rPr>
        <w:t>品</w:t>
      </w:r>
      <w:r w:rsidR="001608AA">
        <w:rPr>
          <w:sz w:val="32"/>
          <w:szCs w:val="32"/>
        </w:rPr>
        <w:t>質</w:t>
      </w:r>
      <w:r w:rsidR="00CC700E">
        <w:rPr>
          <w:sz w:val="32"/>
          <w:szCs w:val="32"/>
        </w:rPr>
        <w:t>計畫</w:t>
      </w:r>
    </w:p>
    <w:p w14:paraId="260CE055" w14:textId="77777777" w:rsidR="00D10109" w:rsidRDefault="00EB6396" w:rsidP="00C641F2">
      <w:pPr>
        <w:pStyle w:val="Default"/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素</w:t>
      </w:r>
      <w:r>
        <w:rPr>
          <w:sz w:val="32"/>
          <w:szCs w:val="32"/>
        </w:rPr>
        <w:t>養導向</w:t>
      </w:r>
      <w:r>
        <w:rPr>
          <w:rFonts w:hint="eastAsia"/>
          <w:sz w:val="32"/>
          <w:szCs w:val="32"/>
        </w:rPr>
        <w:t>數位</w:t>
      </w:r>
      <w:r>
        <w:rPr>
          <w:sz w:val="32"/>
          <w:szCs w:val="32"/>
        </w:rPr>
        <w:t>評量</w:t>
      </w:r>
      <w:r w:rsidR="00A45020">
        <w:rPr>
          <w:sz w:val="32"/>
          <w:szCs w:val="32"/>
        </w:rPr>
        <w:t>增能</w:t>
      </w:r>
      <w:r w:rsidR="001608AA">
        <w:rPr>
          <w:rFonts w:hint="eastAsia"/>
          <w:sz w:val="32"/>
          <w:szCs w:val="32"/>
        </w:rPr>
        <w:t>研</w:t>
      </w:r>
      <w:r w:rsidR="001608AA">
        <w:rPr>
          <w:sz w:val="32"/>
          <w:szCs w:val="32"/>
        </w:rPr>
        <w:t>習</w:t>
      </w:r>
      <w:r w:rsidR="008230A5">
        <w:rPr>
          <w:sz w:val="32"/>
          <w:szCs w:val="32"/>
        </w:rPr>
        <w:t xml:space="preserve"> </w:t>
      </w:r>
    </w:p>
    <w:p w14:paraId="5706F0F3" w14:textId="77777777" w:rsidR="00C641F2" w:rsidRDefault="00D10109" w:rsidP="00C641F2">
      <w:pPr>
        <w:pStyle w:val="Default"/>
        <w:numPr>
          <w:ilvl w:val="0"/>
          <w:numId w:val="6"/>
        </w:numPr>
        <w:spacing w:line="500" w:lineRule="exact"/>
        <w:ind w:left="567" w:hanging="567"/>
      </w:pPr>
      <w:r w:rsidRPr="00C641F2">
        <w:rPr>
          <w:rFonts w:hint="eastAsia"/>
        </w:rPr>
        <w:t>依據</w:t>
      </w:r>
      <w:r w:rsidR="00C641F2">
        <w:rPr>
          <w:rFonts w:hint="eastAsia"/>
        </w:rPr>
        <w:t>：</w:t>
      </w:r>
      <w:r w:rsidRPr="00C641F2">
        <w:rPr>
          <w:rFonts w:hint="eastAsia"/>
        </w:rPr>
        <w:t>教育部</w:t>
      </w:r>
      <w:r w:rsidR="001608AA" w:rsidRPr="00C641F2">
        <w:rPr>
          <w:rFonts w:hint="eastAsia"/>
        </w:rPr>
        <w:t>11</w:t>
      </w:r>
      <w:r w:rsidR="001366A1">
        <w:t>1</w:t>
      </w:r>
      <w:r w:rsidR="001608AA" w:rsidRPr="00C641F2">
        <w:rPr>
          <w:rFonts w:hint="eastAsia"/>
        </w:rPr>
        <w:t>學年度學習區完全免試國中提升學習品質計畫</w:t>
      </w:r>
    </w:p>
    <w:p w14:paraId="405677FA" w14:textId="77777777" w:rsidR="00C641F2" w:rsidRDefault="00D10109" w:rsidP="00C641F2">
      <w:pPr>
        <w:pStyle w:val="Default"/>
        <w:numPr>
          <w:ilvl w:val="0"/>
          <w:numId w:val="6"/>
        </w:numPr>
        <w:spacing w:line="500" w:lineRule="exact"/>
        <w:ind w:left="567" w:hanging="567"/>
      </w:pPr>
      <w:r w:rsidRPr="00C641F2">
        <w:rPr>
          <w:rFonts w:hint="eastAsia"/>
        </w:rPr>
        <w:t>目的</w:t>
      </w:r>
    </w:p>
    <w:p w14:paraId="50457DF2" w14:textId="77777777" w:rsidR="00C641F2" w:rsidRDefault="00D10109" w:rsidP="00C641F2">
      <w:pPr>
        <w:pStyle w:val="Default"/>
        <w:numPr>
          <w:ilvl w:val="0"/>
          <w:numId w:val="3"/>
        </w:numPr>
        <w:spacing w:line="500" w:lineRule="exact"/>
      </w:pPr>
      <w:r w:rsidRPr="00C641F2">
        <w:rPr>
          <w:rFonts w:hint="eastAsia"/>
        </w:rPr>
        <w:t>落實</w:t>
      </w:r>
      <w:r w:rsidR="001608AA" w:rsidRPr="00C641F2">
        <w:rPr>
          <w:rFonts w:hint="eastAsia"/>
        </w:rPr>
        <w:t>教育</w:t>
      </w:r>
      <w:r w:rsidR="001608AA" w:rsidRPr="00C641F2">
        <w:t>部完全免試</w:t>
      </w:r>
      <w:r w:rsidR="001608AA" w:rsidRPr="00C641F2">
        <w:rPr>
          <w:rFonts w:hint="eastAsia"/>
        </w:rPr>
        <w:t>以</w:t>
      </w:r>
      <w:r w:rsidR="001608AA" w:rsidRPr="00C641F2">
        <w:t>提升學習</w:t>
      </w:r>
      <w:r w:rsidR="001608AA" w:rsidRPr="00C641F2">
        <w:rPr>
          <w:rFonts w:hint="eastAsia"/>
        </w:rPr>
        <w:t>品</w:t>
      </w:r>
      <w:r w:rsidR="001608AA" w:rsidRPr="00C641F2">
        <w:t>質</w:t>
      </w:r>
      <w:r w:rsidRPr="00C641F2">
        <w:rPr>
          <w:rFonts w:hint="eastAsia"/>
        </w:rPr>
        <w:t>政策。</w:t>
      </w:r>
    </w:p>
    <w:p w14:paraId="14FD9BBC" w14:textId="77777777" w:rsidR="001608AA" w:rsidRPr="00C641F2" w:rsidRDefault="001608AA" w:rsidP="00C641F2">
      <w:pPr>
        <w:pStyle w:val="Default"/>
        <w:numPr>
          <w:ilvl w:val="0"/>
          <w:numId w:val="3"/>
        </w:numPr>
        <w:spacing w:line="500" w:lineRule="exact"/>
      </w:pPr>
      <w:r w:rsidRPr="00C641F2">
        <w:rPr>
          <w:rFonts w:hint="eastAsia"/>
        </w:rPr>
        <w:t>增</w:t>
      </w:r>
      <w:r w:rsidR="00F7552B" w:rsidRPr="00C641F2">
        <w:t>進本</w:t>
      </w:r>
      <w:r w:rsidR="00F7552B" w:rsidRPr="00C641F2">
        <w:rPr>
          <w:rFonts w:hint="eastAsia"/>
        </w:rPr>
        <w:t>市</w:t>
      </w:r>
      <w:r w:rsidR="00F7552B" w:rsidRPr="00C641F2">
        <w:t>教師</w:t>
      </w:r>
      <w:r w:rsidR="00F7552B" w:rsidRPr="00C641F2">
        <w:rPr>
          <w:rFonts w:hint="eastAsia"/>
        </w:rPr>
        <w:t>素</w:t>
      </w:r>
      <w:r w:rsidR="00F7552B" w:rsidRPr="00C641F2">
        <w:t>養導向數位</w:t>
      </w:r>
      <w:r w:rsidR="00F7552B" w:rsidRPr="00C641F2">
        <w:rPr>
          <w:rFonts w:hint="eastAsia"/>
        </w:rPr>
        <w:t>評</w:t>
      </w:r>
      <w:r w:rsidR="00F7552B" w:rsidRPr="00C641F2">
        <w:t>量</w:t>
      </w:r>
      <w:r w:rsidRPr="00C641F2">
        <w:t>專業知能。</w:t>
      </w:r>
    </w:p>
    <w:p w14:paraId="604C4792" w14:textId="77777777" w:rsidR="00D10109" w:rsidRPr="00C641F2" w:rsidRDefault="00D10109" w:rsidP="00C641F2">
      <w:pPr>
        <w:pStyle w:val="Default"/>
        <w:numPr>
          <w:ilvl w:val="0"/>
          <w:numId w:val="6"/>
        </w:numPr>
        <w:spacing w:line="500" w:lineRule="exact"/>
        <w:ind w:left="567" w:hanging="567"/>
      </w:pPr>
      <w:r w:rsidRPr="00C641F2">
        <w:rPr>
          <w:rFonts w:hint="eastAsia"/>
        </w:rPr>
        <w:t>辦理單位</w:t>
      </w:r>
    </w:p>
    <w:p w14:paraId="6962A8CB" w14:textId="77777777" w:rsidR="00C641F2" w:rsidRDefault="00A735DD" w:rsidP="00C641F2">
      <w:pPr>
        <w:pStyle w:val="Default"/>
        <w:numPr>
          <w:ilvl w:val="0"/>
          <w:numId w:val="5"/>
        </w:numPr>
        <w:spacing w:line="500" w:lineRule="exact"/>
      </w:pPr>
      <w:r w:rsidRPr="00C641F2">
        <w:rPr>
          <w:rFonts w:hint="eastAsia"/>
        </w:rPr>
        <w:t>主</w:t>
      </w:r>
      <w:r w:rsidRPr="00C641F2">
        <w:t>辦單位</w:t>
      </w:r>
      <w:r w:rsidRPr="00C641F2">
        <w:rPr>
          <w:rFonts w:hint="eastAsia"/>
        </w:rPr>
        <w:t>:基</w:t>
      </w:r>
      <w:r w:rsidRPr="00C641F2">
        <w:t>隆市政府教育處</w:t>
      </w:r>
    </w:p>
    <w:p w14:paraId="08F25E26" w14:textId="77777777" w:rsidR="00D10109" w:rsidRPr="00C641F2" w:rsidRDefault="00E63346" w:rsidP="00C641F2">
      <w:pPr>
        <w:pStyle w:val="Default"/>
        <w:numPr>
          <w:ilvl w:val="0"/>
          <w:numId w:val="5"/>
        </w:numPr>
        <w:spacing w:line="500" w:lineRule="exact"/>
      </w:pPr>
      <w:r w:rsidRPr="00C641F2">
        <w:t>承辦單位</w:t>
      </w:r>
      <w:r w:rsidRPr="00C641F2">
        <w:rPr>
          <w:rFonts w:hint="eastAsia"/>
        </w:rPr>
        <w:t>:</w:t>
      </w:r>
      <w:r w:rsidR="000A396A" w:rsidRPr="00C641F2">
        <w:rPr>
          <w:rFonts w:hint="eastAsia"/>
        </w:rPr>
        <w:t>基隆</w:t>
      </w:r>
      <w:r w:rsidR="000A396A" w:rsidRPr="00C641F2">
        <w:t>市</w:t>
      </w:r>
      <w:r w:rsidR="000A396A" w:rsidRPr="00C641F2">
        <w:rPr>
          <w:rFonts w:hint="eastAsia"/>
        </w:rPr>
        <w:t>立中</w:t>
      </w:r>
      <w:r w:rsidR="000A396A" w:rsidRPr="00C641F2">
        <w:t>正國</w:t>
      </w:r>
      <w:r w:rsidR="000A396A" w:rsidRPr="00C641F2">
        <w:rPr>
          <w:rFonts w:hint="eastAsia"/>
        </w:rPr>
        <w:t>民</w:t>
      </w:r>
      <w:r w:rsidR="000A396A" w:rsidRPr="00C641F2">
        <w:t>中學</w:t>
      </w:r>
      <w:bookmarkStart w:id="0" w:name="_GoBack"/>
      <w:bookmarkEnd w:id="0"/>
    </w:p>
    <w:p w14:paraId="55128895" w14:textId="77777777" w:rsidR="00C641F2" w:rsidRDefault="00D10109" w:rsidP="00C641F2">
      <w:pPr>
        <w:pStyle w:val="Default"/>
        <w:numPr>
          <w:ilvl w:val="0"/>
          <w:numId w:val="9"/>
        </w:numPr>
        <w:spacing w:line="500" w:lineRule="exact"/>
        <w:ind w:left="567" w:hanging="567"/>
      </w:pPr>
      <w:r w:rsidRPr="00C641F2">
        <w:rPr>
          <w:rFonts w:hint="eastAsia"/>
        </w:rPr>
        <w:t>研習對象</w:t>
      </w:r>
      <w:bookmarkStart w:id="1" w:name="_Hlk97815335"/>
      <w:r w:rsidR="00C641F2">
        <w:rPr>
          <w:rFonts w:hint="eastAsia"/>
        </w:rPr>
        <w:t>：</w:t>
      </w:r>
      <w:bookmarkEnd w:id="1"/>
      <w:r w:rsidR="008230A5" w:rsidRPr="00C641F2">
        <w:rPr>
          <w:rFonts w:hint="eastAsia"/>
        </w:rPr>
        <w:t>本市各</w:t>
      </w:r>
      <w:r w:rsidR="008230A5" w:rsidRPr="00C641F2">
        <w:t>國中</w:t>
      </w:r>
      <w:r w:rsidR="008230A5" w:rsidRPr="00C641F2">
        <w:rPr>
          <w:rFonts w:hint="eastAsia"/>
        </w:rPr>
        <w:t>(含</w:t>
      </w:r>
      <w:r w:rsidR="008230A5" w:rsidRPr="00C641F2">
        <w:t>市立高中國</w:t>
      </w:r>
      <w:proofErr w:type="gramStart"/>
      <w:r w:rsidR="008230A5" w:rsidRPr="00C641F2">
        <w:t>中部</w:t>
      </w:r>
      <w:r w:rsidR="008230A5" w:rsidRPr="00C641F2">
        <w:rPr>
          <w:rFonts w:hint="eastAsia"/>
        </w:rPr>
        <w:t>)</w:t>
      </w:r>
      <w:proofErr w:type="gramEnd"/>
      <w:r w:rsidR="00C05C50" w:rsidRPr="00C641F2">
        <w:rPr>
          <w:rFonts w:hint="eastAsia"/>
        </w:rPr>
        <w:t>，</w:t>
      </w:r>
      <w:r w:rsidR="00A027E0" w:rsidRPr="00C641F2">
        <w:t>每</w:t>
      </w:r>
      <w:proofErr w:type="gramStart"/>
      <w:r w:rsidR="00A027E0" w:rsidRPr="00C641F2">
        <w:t>校請</w:t>
      </w:r>
      <w:r w:rsidR="00C05C50" w:rsidRPr="00C641F2">
        <w:t>薦</w:t>
      </w:r>
      <w:proofErr w:type="gramEnd"/>
      <w:r w:rsidR="00C05C50" w:rsidRPr="00C641F2">
        <w:t>派</w:t>
      </w:r>
      <w:r w:rsidR="00A027E0" w:rsidRPr="00C641F2">
        <w:t>二</w:t>
      </w:r>
      <w:r w:rsidR="00A027E0" w:rsidRPr="00C641F2">
        <w:rPr>
          <w:rFonts w:hint="eastAsia"/>
        </w:rPr>
        <w:t>位</w:t>
      </w:r>
      <w:r w:rsidR="003347AD" w:rsidRPr="00C641F2">
        <w:rPr>
          <w:rFonts w:hint="eastAsia"/>
        </w:rPr>
        <w:t>以</w:t>
      </w:r>
      <w:r w:rsidR="003347AD" w:rsidRPr="00C641F2">
        <w:t>上</w:t>
      </w:r>
      <w:r w:rsidR="003347AD" w:rsidRPr="00C641F2">
        <w:rPr>
          <w:rFonts w:hint="eastAsia"/>
        </w:rPr>
        <w:t>(含)</w:t>
      </w:r>
      <w:r w:rsidR="00C05C50" w:rsidRPr="00C641F2">
        <w:rPr>
          <w:rFonts w:hint="eastAsia"/>
        </w:rPr>
        <w:t>教師參</w:t>
      </w:r>
      <w:r w:rsidR="00A027E0" w:rsidRPr="00C641F2">
        <w:t>加</w:t>
      </w:r>
      <w:r w:rsidR="00C05C50" w:rsidRPr="00C641F2">
        <w:rPr>
          <w:rFonts w:hint="eastAsia"/>
        </w:rPr>
        <w:t>，並核予公假與課務派代</w:t>
      </w:r>
      <w:r w:rsidRPr="00C641F2">
        <w:rPr>
          <w:rFonts w:hint="eastAsia"/>
        </w:rPr>
        <w:t>。</w:t>
      </w:r>
    </w:p>
    <w:p w14:paraId="430E9F7C" w14:textId="77777777" w:rsidR="00DD6AE9" w:rsidRPr="00E955DF" w:rsidRDefault="00D10109" w:rsidP="00C641F2">
      <w:pPr>
        <w:pStyle w:val="Default"/>
        <w:numPr>
          <w:ilvl w:val="0"/>
          <w:numId w:val="9"/>
        </w:numPr>
        <w:spacing w:line="500" w:lineRule="exact"/>
        <w:ind w:left="567" w:hanging="567"/>
        <w:rPr>
          <w:color w:val="auto"/>
        </w:rPr>
      </w:pPr>
      <w:r w:rsidRPr="00C641F2">
        <w:rPr>
          <w:rFonts w:hint="eastAsia"/>
        </w:rPr>
        <w:t>研習日期</w:t>
      </w:r>
      <w:r w:rsidR="00DD6AE9" w:rsidRPr="00DD6AE9">
        <w:rPr>
          <w:rFonts w:hint="eastAsia"/>
        </w:rPr>
        <w:t>：</w:t>
      </w:r>
      <w:r w:rsidRPr="00E955DF">
        <w:rPr>
          <w:color w:val="auto"/>
        </w:rPr>
        <w:t>11</w:t>
      </w:r>
      <w:r w:rsidR="001366A1" w:rsidRPr="00E955DF">
        <w:rPr>
          <w:color w:val="auto"/>
        </w:rPr>
        <w:t>2</w:t>
      </w:r>
      <w:r w:rsidRPr="00E955DF">
        <w:rPr>
          <w:rFonts w:hint="eastAsia"/>
          <w:color w:val="auto"/>
        </w:rPr>
        <w:t>年</w:t>
      </w:r>
      <w:r w:rsidR="001366A1" w:rsidRPr="00E955DF">
        <w:rPr>
          <w:color w:val="auto"/>
        </w:rPr>
        <w:t>3</w:t>
      </w:r>
      <w:r w:rsidRPr="00E955DF">
        <w:rPr>
          <w:rFonts w:hint="eastAsia"/>
          <w:color w:val="auto"/>
        </w:rPr>
        <w:t>月</w:t>
      </w:r>
      <w:r w:rsidR="001366A1" w:rsidRPr="00E955DF">
        <w:rPr>
          <w:rFonts w:hint="eastAsia"/>
          <w:color w:val="auto"/>
        </w:rPr>
        <w:t>2</w:t>
      </w:r>
      <w:r w:rsidR="00FC00B8" w:rsidRPr="00E955DF">
        <w:rPr>
          <w:color w:val="auto"/>
        </w:rPr>
        <w:t>7</w:t>
      </w:r>
      <w:r w:rsidRPr="00E955DF">
        <w:rPr>
          <w:rFonts w:hint="eastAsia"/>
          <w:color w:val="auto"/>
        </w:rPr>
        <w:t>日（星期</w:t>
      </w:r>
      <w:r w:rsidR="001366A1" w:rsidRPr="00E955DF">
        <w:rPr>
          <w:rFonts w:hint="eastAsia"/>
          <w:color w:val="auto"/>
        </w:rPr>
        <w:t>一</w:t>
      </w:r>
      <w:r w:rsidRPr="00E955DF">
        <w:rPr>
          <w:rFonts w:hint="eastAsia"/>
          <w:color w:val="auto"/>
        </w:rPr>
        <w:t>）下午</w:t>
      </w:r>
      <w:r w:rsidRPr="00E955DF">
        <w:rPr>
          <w:color w:val="auto"/>
        </w:rPr>
        <w:t>13</w:t>
      </w:r>
      <w:r w:rsidR="00FC00B8" w:rsidRPr="00E955DF">
        <w:rPr>
          <w:color w:val="auto"/>
        </w:rPr>
        <w:t>:30</w:t>
      </w:r>
      <w:r w:rsidRPr="00E955DF">
        <w:rPr>
          <w:rFonts w:hint="eastAsia"/>
          <w:color w:val="auto"/>
        </w:rPr>
        <w:t>至</w:t>
      </w:r>
      <w:r w:rsidRPr="00E955DF">
        <w:rPr>
          <w:color w:val="auto"/>
        </w:rPr>
        <w:t>16</w:t>
      </w:r>
      <w:r w:rsidR="00FC00B8" w:rsidRPr="00E955DF">
        <w:rPr>
          <w:rFonts w:hint="eastAsia"/>
          <w:color w:val="auto"/>
        </w:rPr>
        <w:t>:</w:t>
      </w:r>
      <w:r w:rsidR="004339F2" w:rsidRPr="00E955DF">
        <w:rPr>
          <w:color w:val="auto"/>
        </w:rPr>
        <w:t>2</w:t>
      </w:r>
      <w:r w:rsidR="00FC00B8" w:rsidRPr="00E955DF">
        <w:rPr>
          <w:rFonts w:hint="eastAsia"/>
          <w:color w:val="auto"/>
        </w:rPr>
        <w:t>0</w:t>
      </w:r>
      <w:r w:rsidRPr="00E955DF">
        <w:rPr>
          <w:rFonts w:hint="eastAsia"/>
          <w:color w:val="auto"/>
        </w:rPr>
        <w:t>。</w:t>
      </w:r>
    </w:p>
    <w:p w14:paraId="23092C58" w14:textId="77777777" w:rsidR="00DD6AE9" w:rsidRPr="00E955DF" w:rsidRDefault="00D10109" w:rsidP="00C641F2">
      <w:pPr>
        <w:pStyle w:val="Default"/>
        <w:numPr>
          <w:ilvl w:val="0"/>
          <w:numId w:val="9"/>
        </w:numPr>
        <w:spacing w:line="500" w:lineRule="exact"/>
        <w:ind w:left="567" w:hanging="567"/>
        <w:rPr>
          <w:color w:val="auto"/>
        </w:rPr>
      </w:pPr>
      <w:r w:rsidRPr="00E955DF">
        <w:rPr>
          <w:rFonts w:hint="eastAsia"/>
          <w:color w:val="auto"/>
        </w:rPr>
        <w:t>報名時間與</w:t>
      </w:r>
      <w:r w:rsidR="00567D19" w:rsidRPr="00E955DF">
        <w:rPr>
          <w:rFonts w:hint="eastAsia"/>
          <w:color w:val="auto"/>
        </w:rPr>
        <w:t>研</w:t>
      </w:r>
      <w:r w:rsidR="00567D19" w:rsidRPr="00E955DF">
        <w:rPr>
          <w:color w:val="auto"/>
        </w:rPr>
        <w:t>習</w:t>
      </w:r>
      <w:r w:rsidRPr="00E955DF">
        <w:rPr>
          <w:rFonts w:hint="eastAsia"/>
          <w:color w:val="auto"/>
        </w:rPr>
        <w:t>方式</w:t>
      </w:r>
    </w:p>
    <w:p w14:paraId="31F6ECB5" w14:textId="24A00FA7" w:rsidR="00DD6AE9" w:rsidRPr="00E955DF" w:rsidRDefault="00D10109" w:rsidP="00300EDA">
      <w:pPr>
        <w:pStyle w:val="Default"/>
        <w:spacing w:line="500" w:lineRule="exact"/>
        <w:ind w:leftChars="250" w:left="600"/>
        <w:rPr>
          <w:color w:val="auto"/>
        </w:rPr>
      </w:pPr>
      <w:r w:rsidRPr="00E955DF">
        <w:rPr>
          <w:rFonts w:hint="eastAsia"/>
          <w:color w:val="auto"/>
        </w:rPr>
        <w:t>參與人員</w:t>
      </w:r>
      <w:r w:rsidR="00300EDA" w:rsidRPr="00E955DF">
        <w:rPr>
          <w:rFonts w:hint="eastAsia"/>
          <w:color w:val="auto"/>
        </w:rPr>
        <w:t>請</w:t>
      </w:r>
      <w:r w:rsidRPr="00E955DF">
        <w:rPr>
          <w:rFonts w:hint="eastAsia"/>
          <w:color w:val="auto"/>
        </w:rPr>
        <w:t>於</w:t>
      </w:r>
      <w:r w:rsidRPr="00E955DF">
        <w:rPr>
          <w:color w:val="auto"/>
        </w:rPr>
        <w:t>11</w:t>
      </w:r>
      <w:r w:rsidR="00DA636E" w:rsidRPr="00E955DF">
        <w:rPr>
          <w:color w:val="auto"/>
        </w:rPr>
        <w:t>1</w:t>
      </w:r>
      <w:r w:rsidRPr="00E955DF">
        <w:rPr>
          <w:rFonts w:hint="eastAsia"/>
          <w:color w:val="auto"/>
        </w:rPr>
        <w:t>年</w:t>
      </w:r>
      <w:r w:rsidR="001366A1" w:rsidRPr="00E955DF">
        <w:rPr>
          <w:color w:val="auto"/>
        </w:rPr>
        <w:t>3</w:t>
      </w:r>
      <w:r w:rsidRPr="00E955DF">
        <w:rPr>
          <w:rFonts w:hint="eastAsia"/>
          <w:color w:val="auto"/>
        </w:rPr>
        <w:t>月</w:t>
      </w:r>
      <w:r w:rsidR="001366A1" w:rsidRPr="00E955DF">
        <w:rPr>
          <w:color w:val="auto"/>
        </w:rPr>
        <w:t>23</w:t>
      </w:r>
      <w:r w:rsidRPr="00E955DF">
        <w:rPr>
          <w:rFonts w:hint="eastAsia"/>
          <w:color w:val="auto"/>
        </w:rPr>
        <w:t>日</w:t>
      </w:r>
      <w:r w:rsidRPr="00E955DF">
        <w:rPr>
          <w:color w:val="auto"/>
        </w:rPr>
        <w:t>(</w:t>
      </w:r>
      <w:r w:rsidRPr="00E955DF">
        <w:rPr>
          <w:rFonts w:hint="eastAsia"/>
          <w:color w:val="auto"/>
        </w:rPr>
        <w:t>星期</w:t>
      </w:r>
      <w:r w:rsidR="001366A1" w:rsidRPr="00E955DF">
        <w:rPr>
          <w:rFonts w:hint="eastAsia"/>
          <w:color w:val="auto"/>
        </w:rPr>
        <w:t>四</w:t>
      </w:r>
      <w:r w:rsidRPr="00E955DF">
        <w:rPr>
          <w:color w:val="auto"/>
        </w:rPr>
        <w:t>)</w:t>
      </w:r>
      <w:r w:rsidRPr="00E955DF">
        <w:rPr>
          <w:rFonts w:hint="eastAsia"/>
          <w:color w:val="auto"/>
        </w:rPr>
        <w:t>前，至全國教師在職進修資訊網</w:t>
      </w:r>
      <w:r w:rsidRPr="00E955DF">
        <w:rPr>
          <w:color w:val="auto"/>
        </w:rPr>
        <w:t>(https://www1.inservice.edu.tw/)</w:t>
      </w:r>
      <w:r w:rsidRPr="00E955DF">
        <w:rPr>
          <w:rFonts w:hint="eastAsia"/>
          <w:color w:val="auto"/>
        </w:rPr>
        <w:t>報名</w:t>
      </w:r>
      <w:r w:rsidR="00BD3392" w:rsidRPr="00E955DF">
        <w:rPr>
          <w:rFonts w:hint="eastAsia"/>
          <w:color w:val="auto"/>
        </w:rPr>
        <w:t>，</w:t>
      </w:r>
      <w:r w:rsidR="00BD3392" w:rsidRPr="00E955DF">
        <w:rPr>
          <w:color w:val="auto"/>
        </w:rPr>
        <w:t>研習序號</w:t>
      </w:r>
      <w:r w:rsidR="00103963" w:rsidRPr="00E955DF">
        <w:rPr>
          <w:rFonts w:hint="eastAsia"/>
          <w:color w:val="auto"/>
        </w:rPr>
        <w:t>:</w:t>
      </w:r>
      <w:r w:rsidR="001366A1" w:rsidRPr="00E955DF">
        <w:rPr>
          <w:color w:val="auto"/>
        </w:rPr>
        <w:t xml:space="preserve"> </w:t>
      </w:r>
      <w:r w:rsidR="00796243" w:rsidRPr="00796243">
        <w:rPr>
          <w:color w:val="auto"/>
        </w:rPr>
        <w:t>3783968</w:t>
      </w:r>
      <w:r w:rsidRPr="00E955DF">
        <w:rPr>
          <w:rFonts w:hint="eastAsia"/>
          <w:color w:val="auto"/>
        </w:rPr>
        <w:t>。</w:t>
      </w:r>
    </w:p>
    <w:p w14:paraId="68E3B331" w14:textId="02EB9230" w:rsidR="001366A1" w:rsidRDefault="00567D19" w:rsidP="00CD1698">
      <w:pPr>
        <w:pStyle w:val="Default"/>
        <w:numPr>
          <w:ilvl w:val="0"/>
          <w:numId w:val="13"/>
        </w:numPr>
        <w:spacing w:line="500" w:lineRule="exact"/>
        <w:ind w:left="567" w:hanging="567"/>
      </w:pPr>
      <w:r w:rsidRPr="00C641F2">
        <w:rPr>
          <w:rFonts w:hint="eastAsia"/>
        </w:rPr>
        <w:t>本研</w:t>
      </w:r>
      <w:r w:rsidRPr="00C641F2">
        <w:t>習</w:t>
      </w:r>
      <w:proofErr w:type="gramStart"/>
      <w:r w:rsidRPr="00C641F2">
        <w:t>為</w:t>
      </w:r>
      <w:r w:rsidRPr="00C641F2">
        <w:rPr>
          <w:rFonts w:hint="eastAsia"/>
        </w:rPr>
        <w:t>線</w:t>
      </w:r>
      <w:r w:rsidRPr="00C641F2">
        <w:t>上研習</w:t>
      </w:r>
      <w:proofErr w:type="gramEnd"/>
      <w:r w:rsidRPr="00C641F2">
        <w:t>，</w:t>
      </w:r>
      <w:r w:rsidR="008A0427" w:rsidRPr="00C641F2">
        <w:rPr>
          <w:rFonts w:hint="eastAsia"/>
        </w:rPr>
        <w:t>會</w:t>
      </w:r>
      <w:r w:rsidR="008A0427" w:rsidRPr="00C641F2">
        <w:t>議室連結</w:t>
      </w:r>
      <w:r w:rsidR="008A0427" w:rsidRPr="00C641F2">
        <w:rPr>
          <w:rFonts w:hint="eastAsia"/>
        </w:rPr>
        <w:t>：</w:t>
      </w:r>
      <w:r w:rsidR="00E36035" w:rsidRPr="00E36035">
        <w:t>https://meet.google.com/vyv-ybwb-vvw</w:t>
      </w:r>
    </w:p>
    <w:p w14:paraId="025E5E08" w14:textId="77777777" w:rsidR="00DD6AE9" w:rsidRDefault="006A12A5" w:rsidP="00CD1698">
      <w:pPr>
        <w:pStyle w:val="Default"/>
        <w:numPr>
          <w:ilvl w:val="0"/>
          <w:numId w:val="13"/>
        </w:numPr>
        <w:spacing w:line="500" w:lineRule="exact"/>
        <w:ind w:left="567" w:hanging="567"/>
      </w:pPr>
      <w:r w:rsidRPr="00C641F2">
        <w:t>研習</w:t>
      </w:r>
      <w:r w:rsidR="00F53327" w:rsidRPr="00C641F2">
        <w:rPr>
          <w:rFonts w:hint="eastAsia"/>
        </w:rPr>
        <w:t>講</w:t>
      </w:r>
      <w:r w:rsidR="00F53327" w:rsidRPr="00C641F2">
        <w:t>師與</w:t>
      </w:r>
      <w:r w:rsidRPr="00C641F2">
        <w:rPr>
          <w:rFonts w:hint="eastAsia"/>
        </w:rPr>
        <w:t>活</w:t>
      </w:r>
      <w:r w:rsidRPr="00C641F2">
        <w:t>動時程</w:t>
      </w:r>
    </w:p>
    <w:p w14:paraId="794A1CB7" w14:textId="77777777" w:rsidR="007C610B" w:rsidRDefault="002655BF" w:rsidP="007C610B">
      <w:pPr>
        <w:pStyle w:val="Default"/>
        <w:numPr>
          <w:ilvl w:val="0"/>
          <w:numId w:val="15"/>
        </w:numPr>
        <w:spacing w:line="500" w:lineRule="exact"/>
      </w:pPr>
      <w:r w:rsidRPr="00C641F2">
        <w:t>講師</w:t>
      </w:r>
      <w:r w:rsidRPr="00C641F2">
        <w:rPr>
          <w:rFonts w:hint="eastAsia"/>
        </w:rPr>
        <w:t>:</w:t>
      </w:r>
      <w:r w:rsidR="00C9247F" w:rsidRPr="00C641F2">
        <w:rPr>
          <w:rFonts w:hint="eastAsia"/>
        </w:rPr>
        <w:t xml:space="preserve"> </w:t>
      </w:r>
    </w:p>
    <w:p w14:paraId="0FD730E2" w14:textId="7C3C7B69" w:rsidR="00E065A9" w:rsidRPr="00E955DF" w:rsidRDefault="007C610B" w:rsidP="001366A1">
      <w:pPr>
        <w:pStyle w:val="Default"/>
        <w:numPr>
          <w:ilvl w:val="0"/>
          <w:numId w:val="20"/>
        </w:numPr>
        <w:spacing w:line="500" w:lineRule="exact"/>
        <w:rPr>
          <w:color w:val="auto"/>
        </w:rPr>
      </w:pPr>
      <w:r w:rsidRPr="00E955DF">
        <w:rPr>
          <w:rFonts w:hint="eastAsia"/>
          <w:color w:val="auto"/>
        </w:rPr>
        <w:t>王德蕙，</w:t>
      </w:r>
      <w:r w:rsidR="00E065A9" w:rsidRPr="00E955DF">
        <w:rPr>
          <w:rFonts w:hint="eastAsia"/>
          <w:color w:val="auto"/>
        </w:rPr>
        <w:t>國立臺灣</w:t>
      </w:r>
      <w:proofErr w:type="gramStart"/>
      <w:r w:rsidR="00E065A9" w:rsidRPr="00E955DF">
        <w:rPr>
          <w:rFonts w:hint="eastAsia"/>
          <w:color w:val="auto"/>
        </w:rPr>
        <w:t>師範大學</w:t>
      </w:r>
      <w:r w:rsidRPr="00E955DF">
        <w:rPr>
          <w:rFonts w:hint="eastAsia"/>
          <w:color w:val="auto"/>
        </w:rPr>
        <w:t>心測中心</w:t>
      </w:r>
      <w:proofErr w:type="gramEnd"/>
      <w:r w:rsidRPr="00E955DF">
        <w:rPr>
          <w:rFonts w:hint="eastAsia"/>
          <w:color w:val="auto"/>
        </w:rPr>
        <w:t>題庫組副組長，</w:t>
      </w:r>
      <w:r w:rsidR="00E065A9" w:rsidRPr="00E955DF">
        <w:rPr>
          <w:rFonts w:hint="eastAsia"/>
          <w:color w:val="auto"/>
        </w:rPr>
        <w:t>負責執行與督導國中教育會考學力品質分析</w:t>
      </w:r>
    </w:p>
    <w:p w14:paraId="4B30E310" w14:textId="4E553440" w:rsidR="001366A1" w:rsidRPr="00E955DF" w:rsidRDefault="001366A1" w:rsidP="001366A1">
      <w:pPr>
        <w:pStyle w:val="Default"/>
        <w:numPr>
          <w:ilvl w:val="0"/>
          <w:numId w:val="20"/>
        </w:numPr>
        <w:spacing w:line="500" w:lineRule="exact"/>
        <w:rPr>
          <w:color w:val="auto"/>
        </w:rPr>
      </w:pPr>
      <w:r w:rsidRPr="00E955DF">
        <w:rPr>
          <w:rFonts w:hint="eastAsia"/>
          <w:color w:val="auto"/>
        </w:rPr>
        <w:t>江品慧，國立臺灣</w:t>
      </w:r>
      <w:proofErr w:type="gramStart"/>
      <w:r w:rsidRPr="00E955DF">
        <w:rPr>
          <w:rFonts w:hint="eastAsia"/>
          <w:color w:val="auto"/>
        </w:rPr>
        <w:t>師範大學心測中心</w:t>
      </w:r>
      <w:proofErr w:type="gramEnd"/>
      <w:r w:rsidRPr="00E955DF">
        <w:rPr>
          <w:rFonts w:hint="eastAsia"/>
          <w:color w:val="auto"/>
        </w:rPr>
        <w:t>數位評量組研究員，</w:t>
      </w:r>
      <w:r w:rsidR="00E065A9" w:rsidRPr="00E955DF">
        <w:rPr>
          <w:rFonts w:hint="eastAsia"/>
          <w:color w:val="auto"/>
        </w:rPr>
        <w:t>負責開發素養導向數位評量工具</w:t>
      </w:r>
    </w:p>
    <w:p w14:paraId="2D83ADE3" w14:textId="46A903FC" w:rsidR="00612624" w:rsidRPr="00E955DF" w:rsidRDefault="007C610B" w:rsidP="00105056">
      <w:pPr>
        <w:pStyle w:val="Default"/>
        <w:numPr>
          <w:ilvl w:val="0"/>
          <w:numId w:val="20"/>
        </w:numPr>
        <w:spacing w:line="500" w:lineRule="exact"/>
        <w:rPr>
          <w:color w:val="auto"/>
        </w:rPr>
      </w:pPr>
      <w:r w:rsidRPr="00E955DF">
        <w:rPr>
          <w:rFonts w:hint="eastAsia"/>
          <w:color w:val="auto"/>
        </w:rPr>
        <w:t>黃耀軒，</w:t>
      </w:r>
      <w:r w:rsidR="00105056" w:rsidRPr="00E955DF">
        <w:rPr>
          <w:rFonts w:hint="eastAsia"/>
          <w:color w:val="auto"/>
        </w:rPr>
        <w:t>國立臺灣師範大學教育心理與輔導學系博士候選人</w:t>
      </w:r>
      <w:r w:rsidRPr="00E955DF">
        <w:rPr>
          <w:rFonts w:hint="eastAsia"/>
          <w:color w:val="auto"/>
        </w:rPr>
        <w:t>，</w:t>
      </w:r>
      <w:r w:rsidR="00E065A9" w:rsidRPr="00E955DF">
        <w:rPr>
          <w:rFonts w:hint="eastAsia"/>
          <w:color w:val="auto"/>
        </w:rPr>
        <w:t>負責開發與督導素養導向數位評量工具</w:t>
      </w:r>
    </w:p>
    <w:p w14:paraId="2FB2A579" w14:textId="77777777" w:rsidR="002655BF" w:rsidRDefault="00612624" w:rsidP="00C641F2">
      <w:pPr>
        <w:pStyle w:val="Default"/>
        <w:numPr>
          <w:ilvl w:val="0"/>
          <w:numId w:val="15"/>
        </w:numPr>
        <w:spacing w:line="500" w:lineRule="exact"/>
      </w:pPr>
      <w:r>
        <w:rPr>
          <w:rFonts w:hint="eastAsia"/>
        </w:rPr>
        <w:t>研</w:t>
      </w:r>
      <w:r>
        <w:t>習</w:t>
      </w:r>
      <w:r>
        <w:rPr>
          <w:rFonts w:hint="eastAsia"/>
        </w:rPr>
        <w:t>內容</w:t>
      </w:r>
      <w:r>
        <w:t>說明</w:t>
      </w:r>
      <w:r>
        <w:rPr>
          <w:rFonts w:hint="eastAsia"/>
        </w:rPr>
        <w:t>:</w:t>
      </w:r>
    </w:p>
    <w:p w14:paraId="7382DBC9" w14:textId="77777777" w:rsidR="00612624" w:rsidRDefault="00612624" w:rsidP="00612624">
      <w:pPr>
        <w:pStyle w:val="Default"/>
        <w:spacing w:line="500" w:lineRule="exact"/>
        <w:ind w:left="720"/>
      </w:pPr>
      <w:r>
        <w:rPr>
          <w:rFonts w:hint="eastAsia"/>
        </w:rPr>
        <w:t>1、國中會考學力品質資料</w:t>
      </w:r>
      <w:proofErr w:type="gramStart"/>
      <w:r>
        <w:rPr>
          <w:rFonts w:hint="eastAsia"/>
        </w:rPr>
        <w:t>解讀暨學生</w:t>
      </w:r>
      <w:proofErr w:type="gramEnd"/>
      <w:r>
        <w:rPr>
          <w:rFonts w:hint="eastAsia"/>
        </w:rPr>
        <w:t>作答結果診斷分析說明</w:t>
      </w:r>
    </w:p>
    <w:p w14:paraId="7E369D22" w14:textId="77777777" w:rsidR="00612624" w:rsidRDefault="00612624" w:rsidP="00612624">
      <w:pPr>
        <w:pStyle w:val="Default"/>
        <w:spacing w:line="500" w:lineRule="exact"/>
        <w:ind w:left="720"/>
      </w:pPr>
      <w:r>
        <w:rPr>
          <w:rFonts w:hint="eastAsia"/>
        </w:rPr>
        <w:lastRenderedPageBreak/>
        <w:t>說明如何利用國中教育會考學力品質監控資料瞭解學生學力狀況，並利用學生作答結果診斷分析數據，幫助診斷學生是否對特定學習內容產生</w:t>
      </w:r>
      <w:proofErr w:type="gramStart"/>
      <w:r>
        <w:rPr>
          <w:rFonts w:hint="eastAsia"/>
        </w:rPr>
        <w:t>迷思或具備</w:t>
      </w:r>
      <w:proofErr w:type="gramEnd"/>
      <w:r>
        <w:rPr>
          <w:rFonts w:hint="eastAsia"/>
        </w:rPr>
        <w:t>優勢概念</w:t>
      </w:r>
    </w:p>
    <w:p w14:paraId="10372FF1" w14:textId="77777777" w:rsidR="00612624" w:rsidRDefault="00612624" w:rsidP="00612624">
      <w:pPr>
        <w:pStyle w:val="Default"/>
        <w:spacing w:line="500" w:lineRule="exact"/>
        <w:ind w:left="720"/>
      </w:pPr>
      <w:r>
        <w:rPr>
          <w:rFonts w:hint="eastAsia"/>
        </w:rPr>
        <w:t>2、素養導向數位評量</w:t>
      </w:r>
    </w:p>
    <w:p w14:paraId="3036FD81" w14:textId="77777777" w:rsidR="00612624" w:rsidRDefault="00612624" w:rsidP="00612624">
      <w:pPr>
        <w:pStyle w:val="Default"/>
        <w:spacing w:line="500" w:lineRule="exact"/>
        <w:ind w:left="720"/>
      </w:pPr>
      <w:r>
        <w:rPr>
          <w:rFonts w:hint="eastAsia"/>
        </w:rPr>
        <w:t>介紹「概念構圖」與「互動推理能力測驗」等數位評量工具，說明其評量目標以及操作方式，以利現場教師瞭解如何使用這些工具進行命題與評量</w:t>
      </w:r>
    </w:p>
    <w:p w14:paraId="48A8063E" w14:textId="77777777" w:rsidR="00612624" w:rsidRPr="00C641F2" w:rsidRDefault="00612624" w:rsidP="00C641F2">
      <w:pPr>
        <w:pStyle w:val="Default"/>
        <w:numPr>
          <w:ilvl w:val="0"/>
          <w:numId w:val="15"/>
        </w:numPr>
        <w:spacing w:line="500" w:lineRule="exact"/>
      </w:pPr>
      <w:r>
        <w:rPr>
          <w:rFonts w:hint="eastAsia"/>
        </w:rPr>
        <w:t>時</w:t>
      </w:r>
      <w:r>
        <w:t>間表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686"/>
        <w:gridCol w:w="2347"/>
      </w:tblGrid>
      <w:tr w:rsidR="006A12A5" w:rsidRPr="00C641F2" w14:paraId="3B350FAD" w14:textId="77777777" w:rsidTr="00DD6AE9">
        <w:tc>
          <w:tcPr>
            <w:tcW w:w="1842" w:type="dxa"/>
          </w:tcPr>
          <w:p w14:paraId="71046431" w14:textId="77777777" w:rsidR="006A12A5" w:rsidRPr="00C641F2" w:rsidRDefault="006A12A5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時</w:t>
            </w:r>
            <w:r w:rsidRPr="00C641F2">
              <w:t>間</w:t>
            </w:r>
          </w:p>
        </w:tc>
        <w:tc>
          <w:tcPr>
            <w:tcW w:w="3686" w:type="dxa"/>
          </w:tcPr>
          <w:p w14:paraId="5084ACAD" w14:textId="77777777" w:rsidR="006A12A5" w:rsidRPr="00C641F2" w:rsidRDefault="006A12A5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主</w:t>
            </w:r>
            <w:r w:rsidRPr="00C641F2">
              <w:t>題</w:t>
            </w:r>
          </w:p>
        </w:tc>
        <w:tc>
          <w:tcPr>
            <w:tcW w:w="2347" w:type="dxa"/>
          </w:tcPr>
          <w:p w14:paraId="0CE152E0" w14:textId="77777777" w:rsidR="006A12A5" w:rsidRPr="00C641F2" w:rsidRDefault="006A12A5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主</w:t>
            </w:r>
            <w:r w:rsidRPr="00C641F2">
              <w:t>持人</w:t>
            </w:r>
            <w:r w:rsidRPr="00C641F2">
              <w:rPr>
                <w:rFonts w:hint="eastAsia"/>
              </w:rPr>
              <w:t>/講</w:t>
            </w:r>
            <w:r w:rsidRPr="00C641F2">
              <w:t>師</w:t>
            </w:r>
          </w:p>
        </w:tc>
      </w:tr>
      <w:tr w:rsidR="006A12A5" w:rsidRPr="00C641F2" w14:paraId="32F3ACCC" w14:textId="77777777" w:rsidTr="00DD6AE9">
        <w:tc>
          <w:tcPr>
            <w:tcW w:w="1842" w:type="dxa"/>
          </w:tcPr>
          <w:p w14:paraId="7DA73171" w14:textId="77777777" w:rsidR="006A12A5" w:rsidRPr="00C641F2" w:rsidRDefault="006A12A5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13:</w:t>
            </w:r>
            <w:r w:rsidR="004339F2" w:rsidRPr="00C641F2">
              <w:t>20</w:t>
            </w:r>
            <w:r w:rsidRPr="00C641F2">
              <w:rPr>
                <w:rFonts w:hint="eastAsia"/>
              </w:rPr>
              <w:t>-13:</w:t>
            </w:r>
            <w:r w:rsidR="004339F2" w:rsidRPr="00C641F2">
              <w:t>30</w:t>
            </w:r>
          </w:p>
        </w:tc>
        <w:tc>
          <w:tcPr>
            <w:tcW w:w="3686" w:type="dxa"/>
          </w:tcPr>
          <w:p w14:paraId="1220B4D7" w14:textId="77777777" w:rsidR="006A12A5" w:rsidRPr="00C641F2" w:rsidRDefault="004339F2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開場</w:t>
            </w:r>
          </w:p>
        </w:tc>
        <w:tc>
          <w:tcPr>
            <w:tcW w:w="2347" w:type="dxa"/>
          </w:tcPr>
          <w:p w14:paraId="0BC64818" w14:textId="77777777" w:rsidR="00DD6AE9" w:rsidRDefault="00DD6AE9" w:rsidP="00DD6AE9">
            <w:pPr>
              <w:pStyle w:val="Default"/>
              <w:spacing w:line="500" w:lineRule="exact"/>
              <w:jc w:val="center"/>
            </w:pPr>
            <w:r>
              <w:rPr>
                <w:rFonts w:hint="eastAsia"/>
              </w:rPr>
              <w:t>中正國中</w:t>
            </w:r>
          </w:p>
          <w:p w14:paraId="50C865BC" w14:textId="77777777" w:rsidR="006A12A5" w:rsidRPr="00C641F2" w:rsidRDefault="001366A1" w:rsidP="00DD6AE9">
            <w:pPr>
              <w:pStyle w:val="Default"/>
              <w:spacing w:line="500" w:lineRule="exact"/>
              <w:jc w:val="center"/>
            </w:pPr>
            <w:proofErr w:type="gramStart"/>
            <w:r>
              <w:rPr>
                <w:rFonts w:hint="eastAsia"/>
              </w:rPr>
              <w:t>江忠</w:t>
            </w:r>
            <w:r>
              <w:t>僑</w:t>
            </w:r>
            <w:proofErr w:type="gramEnd"/>
            <w:r w:rsidR="00C9247F" w:rsidRPr="00C641F2">
              <w:rPr>
                <w:rFonts w:hint="eastAsia"/>
              </w:rPr>
              <w:t xml:space="preserve"> 校</w:t>
            </w:r>
            <w:r w:rsidR="00C9247F" w:rsidRPr="00C641F2">
              <w:t>長</w:t>
            </w:r>
          </w:p>
        </w:tc>
      </w:tr>
      <w:tr w:rsidR="006A12A5" w:rsidRPr="00C641F2" w14:paraId="7327CE59" w14:textId="77777777" w:rsidTr="00DD6AE9">
        <w:tc>
          <w:tcPr>
            <w:tcW w:w="1842" w:type="dxa"/>
          </w:tcPr>
          <w:p w14:paraId="4938DD3C" w14:textId="77777777" w:rsidR="006A12A5" w:rsidRPr="00C641F2" w:rsidRDefault="006A12A5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13:</w:t>
            </w:r>
            <w:r w:rsidR="004339F2" w:rsidRPr="00C641F2">
              <w:t>3</w:t>
            </w:r>
            <w:r w:rsidRPr="00C641F2">
              <w:t>0</w:t>
            </w:r>
            <w:r w:rsidRPr="00C641F2">
              <w:rPr>
                <w:rFonts w:hint="eastAsia"/>
              </w:rPr>
              <w:t>-1</w:t>
            </w:r>
            <w:r w:rsidR="004339F2" w:rsidRPr="00C641F2">
              <w:t>4</w:t>
            </w:r>
            <w:r w:rsidRPr="00C641F2">
              <w:rPr>
                <w:rFonts w:hint="eastAsia"/>
              </w:rPr>
              <w:t>:</w:t>
            </w:r>
            <w:r w:rsidR="004339F2" w:rsidRPr="00C641F2">
              <w:t>2</w:t>
            </w:r>
            <w:r w:rsidRPr="00C641F2">
              <w:rPr>
                <w:rFonts w:hint="eastAsia"/>
              </w:rPr>
              <w:t>0</w:t>
            </w:r>
          </w:p>
        </w:tc>
        <w:tc>
          <w:tcPr>
            <w:tcW w:w="3686" w:type="dxa"/>
          </w:tcPr>
          <w:p w14:paraId="258C1972" w14:textId="77777777" w:rsidR="006A12A5" w:rsidRPr="00C641F2" w:rsidRDefault="00C9247F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C641F2">
              <w:rPr>
                <w:rFonts w:hint="eastAsia"/>
                <w:color w:val="auto"/>
              </w:rPr>
              <w:t>國中教育會考學力品質監控資料暨學生作答結果診斷分析說明</w:t>
            </w:r>
          </w:p>
        </w:tc>
        <w:tc>
          <w:tcPr>
            <w:tcW w:w="2347" w:type="dxa"/>
          </w:tcPr>
          <w:p w14:paraId="15339439" w14:textId="5D95A0CA" w:rsidR="00A748A4" w:rsidRPr="00E955DF" w:rsidRDefault="009F6737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E955DF">
              <w:rPr>
                <w:rFonts w:hint="eastAsia"/>
                <w:color w:val="auto"/>
              </w:rPr>
              <w:t>台</w:t>
            </w:r>
            <w:r w:rsidR="004339F2" w:rsidRPr="00E955DF">
              <w:rPr>
                <w:rFonts w:hint="eastAsia"/>
                <w:color w:val="auto"/>
              </w:rPr>
              <w:t>師大</w:t>
            </w:r>
            <w:r w:rsidR="004339F2" w:rsidRPr="00E955DF">
              <w:rPr>
                <w:color w:val="auto"/>
              </w:rPr>
              <w:t>心測中心</w:t>
            </w:r>
          </w:p>
          <w:p w14:paraId="0AB8EB4E" w14:textId="3797BD47" w:rsidR="009F6737" w:rsidRPr="00E955DF" w:rsidRDefault="009F6737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E955DF">
              <w:rPr>
                <w:rFonts w:hint="eastAsia"/>
                <w:color w:val="auto"/>
              </w:rPr>
              <w:t>王德蕙 副組長</w:t>
            </w:r>
          </w:p>
        </w:tc>
      </w:tr>
      <w:tr w:rsidR="004339F2" w:rsidRPr="00C641F2" w14:paraId="61ED9955" w14:textId="77777777" w:rsidTr="00DD6AE9">
        <w:tc>
          <w:tcPr>
            <w:tcW w:w="1842" w:type="dxa"/>
          </w:tcPr>
          <w:p w14:paraId="59242351" w14:textId="77777777" w:rsidR="004339F2" w:rsidRPr="00C641F2" w:rsidRDefault="004339F2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14:20-14:30</w:t>
            </w:r>
          </w:p>
        </w:tc>
        <w:tc>
          <w:tcPr>
            <w:tcW w:w="3686" w:type="dxa"/>
          </w:tcPr>
          <w:p w14:paraId="5A6BC559" w14:textId="77777777" w:rsidR="004339F2" w:rsidRPr="00C641F2" w:rsidRDefault="004339F2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C641F2">
              <w:rPr>
                <w:rFonts w:hint="eastAsia"/>
                <w:color w:val="auto"/>
              </w:rPr>
              <w:t>休</w:t>
            </w:r>
            <w:r w:rsidRPr="00C641F2">
              <w:rPr>
                <w:color w:val="auto"/>
              </w:rPr>
              <w:t>息</w:t>
            </w:r>
          </w:p>
        </w:tc>
        <w:tc>
          <w:tcPr>
            <w:tcW w:w="2347" w:type="dxa"/>
          </w:tcPr>
          <w:p w14:paraId="737EC8E3" w14:textId="77777777" w:rsidR="004339F2" w:rsidRPr="00E955DF" w:rsidRDefault="004339F2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</w:p>
        </w:tc>
      </w:tr>
      <w:tr w:rsidR="004339F2" w:rsidRPr="00C641F2" w14:paraId="7BEA564D" w14:textId="77777777" w:rsidTr="00DD6AE9">
        <w:tc>
          <w:tcPr>
            <w:tcW w:w="1842" w:type="dxa"/>
          </w:tcPr>
          <w:p w14:paraId="73204F3B" w14:textId="77777777" w:rsidR="004339F2" w:rsidRPr="00C641F2" w:rsidRDefault="004339F2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14:30-15:20</w:t>
            </w:r>
          </w:p>
        </w:tc>
        <w:tc>
          <w:tcPr>
            <w:tcW w:w="3686" w:type="dxa"/>
          </w:tcPr>
          <w:p w14:paraId="398C8637" w14:textId="77777777" w:rsidR="004339F2" w:rsidRPr="00C641F2" w:rsidRDefault="00C9247F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C641F2">
              <w:rPr>
                <w:rFonts w:hint="eastAsia"/>
                <w:color w:val="auto"/>
              </w:rPr>
              <w:t>素養導向數位評量工具介紹(</w:t>
            </w:r>
            <w:proofErr w:type="gramStart"/>
            <w:r w:rsidRPr="00C641F2">
              <w:rPr>
                <w:rFonts w:hint="eastAsia"/>
                <w:color w:val="auto"/>
              </w:rPr>
              <w:t>一</w:t>
            </w:r>
            <w:proofErr w:type="gramEnd"/>
            <w:r w:rsidRPr="00C641F2">
              <w:rPr>
                <w:rFonts w:hint="eastAsia"/>
                <w:color w:val="auto"/>
              </w:rPr>
              <w:t>)</w:t>
            </w:r>
          </w:p>
        </w:tc>
        <w:tc>
          <w:tcPr>
            <w:tcW w:w="2347" w:type="dxa"/>
          </w:tcPr>
          <w:p w14:paraId="103B891C" w14:textId="77777777" w:rsidR="004339F2" w:rsidRPr="00E955DF" w:rsidRDefault="009F6737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E955DF">
              <w:rPr>
                <w:rFonts w:hint="eastAsia"/>
                <w:color w:val="auto"/>
              </w:rPr>
              <w:t>台師大</w:t>
            </w:r>
            <w:r w:rsidRPr="00E955DF">
              <w:rPr>
                <w:color w:val="auto"/>
              </w:rPr>
              <w:t>心測中心</w:t>
            </w:r>
          </w:p>
          <w:p w14:paraId="5F05C884" w14:textId="7D2A2A60" w:rsidR="009F6737" w:rsidRPr="00E955DF" w:rsidRDefault="009F6737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E955DF">
              <w:rPr>
                <w:rFonts w:hint="eastAsia"/>
                <w:color w:val="auto"/>
              </w:rPr>
              <w:t>江品慧 研究員</w:t>
            </w:r>
          </w:p>
        </w:tc>
      </w:tr>
      <w:tr w:rsidR="004339F2" w:rsidRPr="00C641F2" w14:paraId="765E22F0" w14:textId="77777777" w:rsidTr="00DD6AE9">
        <w:tc>
          <w:tcPr>
            <w:tcW w:w="1842" w:type="dxa"/>
          </w:tcPr>
          <w:p w14:paraId="67FDCCD2" w14:textId="77777777" w:rsidR="004339F2" w:rsidRPr="00C641F2" w:rsidRDefault="004339F2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1</w:t>
            </w:r>
            <w:r w:rsidRPr="00C641F2">
              <w:t>5</w:t>
            </w:r>
            <w:r w:rsidRPr="00C641F2">
              <w:rPr>
                <w:rFonts w:hint="eastAsia"/>
              </w:rPr>
              <w:t>:20-1</w:t>
            </w:r>
            <w:r w:rsidRPr="00C641F2">
              <w:t>5</w:t>
            </w:r>
            <w:r w:rsidRPr="00C641F2">
              <w:rPr>
                <w:rFonts w:hint="eastAsia"/>
              </w:rPr>
              <w:t>:30</w:t>
            </w:r>
          </w:p>
        </w:tc>
        <w:tc>
          <w:tcPr>
            <w:tcW w:w="3686" w:type="dxa"/>
          </w:tcPr>
          <w:p w14:paraId="0EA77014" w14:textId="77777777" w:rsidR="004339F2" w:rsidRPr="00C641F2" w:rsidRDefault="004339F2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C641F2">
              <w:rPr>
                <w:rFonts w:hint="eastAsia"/>
                <w:color w:val="auto"/>
              </w:rPr>
              <w:t>休</w:t>
            </w:r>
            <w:r w:rsidRPr="00C641F2">
              <w:rPr>
                <w:color w:val="auto"/>
              </w:rPr>
              <w:t>息</w:t>
            </w:r>
          </w:p>
        </w:tc>
        <w:tc>
          <w:tcPr>
            <w:tcW w:w="2347" w:type="dxa"/>
          </w:tcPr>
          <w:p w14:paraId="4883764C" w14:textId="77777777" w:rsidR="004339F2" w:rsidRPr="00E955DF" w:rsidRDefault="004339F2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</w:p>
        </w:tc>
      </w:tr>
      <w:tr w:rsidR="00DB74C9" w:rsidRPr="00C641F2" w14:paraId="0374F145" w14:textId="77777777" w:rsidTr="00DD6AE9">
        <w:tc>
          <w:tcPr>
            <w:tcW w:w="1842" w:type="dxa"/>
          </w:tcPr>
          <w:p w14:paraId="146F4F85" w14:textId="77777777" w:rsidR="00DB74C9" w:rsidRPr="00C641F2" w:rsidRDefault="00DB74C9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1</w:t>
            </w:r>
            <w:r w:rsidRPr="00C641F2">
              <w:t>5</w:t>
            </w:r>
            <w:r w:rsidRPr="00C641F2">
              <w:rPr>
                <w:rFonts w:hint="eastAsia"/>
              </w:rPr>
              <w:t>:</w:t>
            </w:r>
            <w:r w:rsidRPr="00C641F2">
              <w:t>30</w:t>
            </w:r>
            <w:r w:rsidRPr="00C641F2">
              <w:rPr>
                <w:rFonts w:hint="eastAsia"/>
              </w:rPr>
              <w:t>~</w:t>
            </w:r>
            <w:r w:rsidRPr="00C641F2">
              <w:t>16:20</w:t>
            </w:r>
          </w:p>
        </w:tc>
        <w:tc>
          <w:tcPr>
            <w:tcW w:w="3686" w:type="dxa"/>
          </w:tcPr>
          <w:p w14:paraId="0D4A5E63" w14:textId="77777777" w:rsidR="00DB74C9" w:rsidRPr="00C641F2" w:rsidRDefault="00C9247F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  <w:color w:val="auto"/>
              </w:rPr>
              <w:t>素養導向數位評量工具介紹</w:t>
            </w:r>
            <w:r w:rsidR="00DB74C9" w:rsidRPr="00C641F2">
              <w:rPr>
                <w:rFonts w:hint="eastAsia"/>
                <w:color w:val="auto"/>
              </w:rPr>
              <w:t>(二)</w:t>
            </w:r>
          </w:p>
        </w:tc>
        <w:tc>
          <w:tcPr>
            <w:tcW w:w="2347" w:type="dxa"/>
          </w:tcPr>
          <w:p w14:paraId="7FD130B1" w14:textId="096587BD" w:rsidR="00DB74C9" w:rsidRPr="00E955DF" w:rsidRDefault="009F6737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E955DF">
              <w:rPr>
                <w:rFonts w:hint="eastAsia"/>
                <w:color w:val="auto"/>
              </w:rPr>
              <w:t>台師大心輔系</w:t>
            </w:r>
          </w:p>
          <w:p w14:paraId="7913B0DC" w14:textId="67FA2874" w:rsidR="009F6737" w:rsidRPr="00E955DF" w:rsidRDefault="009F6737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E955DF">
              <w:rPr>
                <w:rFonts w:hint="eastAsia"/>
                <w:color w:val="auto"/>
              </w:rPr>
              <w:t>黃耀軒 博士候選人</w:t>
            </w:r>
          </w:p>
        </w:tc>
      </w:tr>
      <w:tr w:rsidR="00DB74C9" w:rsidRPr="00C641F2" w14:paraId="3C1DA40B" w14:textId="77777777" w:rsidTr="00DD6AE9">
        <w:tc>
          <w:tcPr>
            <w:tcW w:w="1842" w:type="dxa"/>
          </w:tcPr>
          <w:p w14:paraId="38589598" w14:textId="77777777" w:rsidR="00DB74C9" w:rsidRPr="00C641F2" w:rsidRDefault="00DB74C9" w:rsidP="00DD6AE9">
            <w:pPr>
              <w:pStyle w:val="Default"/>
              <w:spacing w:line="500" w:lineRule="exact"/>
              <w:jc w:val="center"/>
            </w:pPr>
            <w:r w:rsidRPr="00C641F2">
              <w:rPr>
                <w:rFonts w:hint="eastAsia"/>
              </w:rPr>
              <w:t>16:20~</w:t>
            </w:r>
          </w:p>
        </w:tc>
        <w:tc>
          <w:tcPr>
            <w:tcW w:w="3686" w:type="dxa"/>
          </w:tcPr>
          <w:p w14:paraId="396FC488" w14:textId="77777777" w:rsidR="00DB74C9" w:rsidRPr="00C641F2" w:rsidRDefault="00DB74C9" w:rsidP="00DD6AE9">
            <w:pPr>
              <w:pStyle w:val="Default"/>
              <w:spacing w:line="500" w:lineRule="exact"/>
              <w:jc w:val="center"/>
              <w:rPr>
                <w:color w:val="auto"/>
              </w:rPr>
            </w:pPr>
            <w:r w:rsidRPr="00C641F2">
              <w:rPr>
                <w:rFonts w:hint="eastAsia"/>
                <w:color w:val="auto"/>
              </w:rPr>
              <w:t>賦</w:t>
            </w:r>
            <w:r w:rsidRPr="00C641F2">
              <w:rPr>
                <w:color w:val="auto"/>
              </w:rPr>
              <w:t>歸</w:t>
            </w:r>
          </w:p>
        </w:tc>
        <w:tc>
          <w:tcPr>
            <w:tcW w:w="2347" w:type="dxa"/>
          </w:tcPr>
          <w:p w14:paraId="0FD366DB" w14:textId="77777777" w:rsidR="00DB74C9" w:rsidRPr="00C641F2" w:rsidRDefault="00DB74C9" w:rsidP="00C641F2">
            <w:pPr>
              <w:pStyle w:val="Default"/>
              <w:spacing w:line="500" w:lineRule="exact"/>
            </w:pPr>
          </w:p>
        </w:tc>
      </w:tr>
    </w:tbl>
    <w:p w14:paraId="582B1495" w14:textId="77777777" w:rsidR="006A12A5" w:rsidRPr="00C641F2" w:rsidRDefault="00D62A69" w:rsidP="00612624">
      <w:pPr>
        <w:pStyle w:val="Default"/>
        <w:numPr>
          <w:ilvl w:val="0"/>
          <w:numId w:val="15"/>
        </w:numPr>
        <w:spacing w:line="500" w:lineRule="exact"/>
      </w:pPr>
      <w:r w:rsidRPr="00C641F2">
        <w:rPr>
          <w:rFonts w:hint="eastAsia"/>
        </w:rPr>
        <w:t>詳細課</w:t>
      </w:r>
      <w:r w:rsidRPr="00C641F2">
        <w:t>程</w:t>
      </w:r>
      <w:r w:rsidRPr="00C641F2">
        <w:rPr>
          <w:rFonts w:hint="eastAsia"/>
        </w:rPr>
        <w:t>內容介</w:t>
      </w:r>
      <w:r w:rsidRPr="00C641F2">
        <w:t>紹</w:t>
      </w:r>
      <w:r w:rsidRPr="00C641F2">
        <w:rPr>
          <w:rFonts w:hint="eastAsia"/>
        </w:rPr>
        <w:t>見</w:t>
      </w:r>
      <w:r w:rsidRPr="00C641F2">
        <w:t>「附件</w:t>
      </w:r>
      <w:r w:rsidRPr="00C641F2">
        <w:rPr>
          <w:rFonts w:hint="eastAsia"/>
        </w:rPr>
        <w:t>」</w:t>
      </w:r>
      <w:r w:rsidRPr="00C641F2">
        <w:t>。</w:t>
      </w:r>
    </w:p>
    <w:p w14:paraId="07C18920" w14:textId="77777777" w:rsidR="00DD6AE9" w:rsidRDefault="000A396A" w:rsidP="00C641F2">
      <w:pPr>
        <w:pStyle w:val="Default"/>
        <w:numPr>
          <w:ilvl w:val="0"/>
          <w:numId w:val="18"/>
        </w:numPr>
        <w:spacing w:line="500" w:lineRule="exact"/>
        <w:ind w:left="567" w:hanging="567"/>
      </w:pPr>
      <w:r w:rsidRPr="00C641F2">
        <w:rPr>
          <w:rFonts w:hint="eastAsia"/>
        </w:rPr>
        <w:t>經費</w:t>
      </w:r>
      <w:r w:rsidR="00DD6AE9">
        <w:rPr>
          <w:rFonts w:hint="eastAsia"/>
        </w:rPr>
        <w:t>：</w:t>
      </w:r>
      <w:r w:rsidRPr="00C641F2">
        <w:rPr>
          <w:rFonts w:hint="eastAsia"/>
        </w:rPr>
        <w:t>研習所需經費由</w:t>
      </w:r>
      <w:r w:rsidR="00050512" w:rsidRPr="00C641F2">
        <w:rPr>
          <w:rFonts w:hint="eastAsia"/>
        </w:rPr>
        <w:t>11</w:t>
      </w:r>
      <w:r w:rsidR="001366A1">
        <w:t>1</w:t>
      </w:r>
      <w:r w:rsidR="00050512" w:rsidRPr="00C641F2">
        <w:rPr>
          <w:rFonts w:hint="eastAsia"/>
        </w:rPr>
        <w:t>學</w:t>
      </w:r>
      <w:r w:rsidR="00050512" w:rsidRPr="00C641F2">
        <w:t>年</w:t>
      </w:r>
      <w:r w:rsidR="00050512" w:rsidRPr="00C641F2">
        <w:rPr>
          <w:rFonts w:hint="eastAsia"/>
        </w:rPr>
        <w:t>度完全</w:t>
      </w:r>
      <w:r w:rsidR="00050512" w:rsidRPr="00C641F2">
        <w:t>免試</w:t>
      </w:r>
      <w:r w:rsidR="00D10109" w:rsidRPr="00C641F2">
        <w:rPr>
          <w:rFonts w:hint="eastAsia"/>
        </w:rPr>
        <w:t>相關經費支應。</w:t>
      </w:r>
    </w:p>
    <w:p w14:paraId="26B640CE" w14:textId="77777777" w:rsidR="00DD6AE9" w:rsidRDefault="00D10109" w:rsidP="00C641F2">
      <w:pPr>
        <w:pStyle w:val="Default"/>
        <w:numPr>
          <w:ilvl w:val="0"/>
          <w:numId w:val="18"/>
        </w:numPr>
        <w:spacing w:line="500" w:lineRule="exact"/>
        <w:ind w:left="567" w:hanging="567"/>
      </w:pPr>
      <w:r w:rsidRPr="00C641F2">
        <w:rPr>
          <w:rFonts w:hint="eastAsia"/>
        </w:rPr>
        <w:t>其他</w:t>
      </w:r>
      <w:r w:rsidR="00DD6AE9">
        <w:rPr>
          <w:rFonts w:hint="eastAsia"/>
        </w:rPr>
        <w:t>：</w:t>
      </w:r>
      <w:r w:rsidRPr="00C641F2">
        <w:rPr>
          <w:rFonts w:hint="eastAsia"/>
        </w:rPr>
        <w:t>全程參與者，核與研習時數</w:t>
      </w:r>
      <w:r w:rsidRPr="00C641F2">
        <w:t>3</w:t>
      </w:r>
      <w:r w:rsidRPr="00C641F2">
        <w:rPr>
          <w:rFonts w:hint="eastAsia"/>
        </w:rPr>
        <w:t>小時。</w:t>
      </w:r>
    </w:p>
    <w:p w14:paraId="38E0F0CF" w14:textId="77777777" w:rsidR="00DD6AE9" w:rsidRDefault="00D10109" w:rsidP="00C641F2">
      <w:pPr>
        <w:pStyle w:val="Default"/>
        <w:numPr>
          <w:ilvl w:val="0"/>
          <w:numId w:val="18"/>
        </w:numPr>
        <w:spacing w:line="500" w:lineRule="exact"/>
        <w:ind w:left="851" w:hanging="851"/>
      </w:pPr>
      <w:r w:rsidRPr="00C641F2">
        <w:rPr>
          <w:rFonts w:hint="eastAsia"/>
        </w:rPr>
        <w:t>承辦單位聯絡資訊</w:t>
      </w:r>
      <w:r w:rsidRPr="00C641F2">
        <w:t>:</w:t>
      </w:r>
    </w:p>
    <w:p w14:paraId="2883041A" w14:textId="77777777" w:rsidR="00DD6AE9" w:rsidRDefault="000A396A" w:rsidP="00C641F2">
      <w:pPr>
        <w:pStyle w:val="Default"/>
        <w:numPr>
          <w:ilvl w:val="0"/>
          <w:numId w:val="19"/>
        </w:numPr>
        <w:spacing w:line="500" w:lineRule="exact"/>
      </w:pPr>
      <w:r w:rsidRPr="00C641F2">
        <w:rPr>
          <w:rFonts w:hint="eastAsia"/>
        </w:rPr>
        <w:t>中正</w:t>
      </w:r>
      <w:r w:rsidRPr="00C641F2">
        <w:t>國中</w:t>
      </w:r>
      <w:r w:rsidRPr="00C641F2">
        <w:rPr>
          <w:rFonts w:hint="eastAsia"/>
        </w:rPr>
        <w:t>教務處</w:t>
      </w:r>
      <w:r w:rsidR="00F343B3" w:rsidRPr="00C641F2">
        <w:rPr>
          <w:rFonts w:hint="eastAsia"/>
        </w:rPr>
        <w:t xml:space="preserve"> </w:t>
      </w:r>
      <w:r w:rsidRPr="00C641F2">
        <w:rPr>
          <w:rFonts w:hint="eastAsia"/>
        </w:rPr>
        <w:t>石</w:t>
      </w:r>
      <w:r w:rsidRPr="00C641F2">
        <w:t>長明</w:t>
      </w:r>
      <w:r w:rsidRPr="00C641F2">
        <w:rPr>
          <w:rFonts w:hint="eastAsia"/>
        </w:rPr>
        <w:t>主任、陳</w:t>
      </w:r>
      <w:r w:rsidRPr="00C641F2">
        <w:t>俊明組長</w:t>
      </w:r>
      <w:r w:rsidR="00DD6AE9">
        <w:rPr>
          <w:rFonts w:hint="eastAsia"/>
        </w:rPr>
        <w:t>。</w:t>
      </w:r>
    </w:p>
    <w:p w14:paraId="45411730" w14:textId="77777777" w:rsidR="00DD6AE9" w:rsidRDefault="00D10109" w:rsidP="00DD6AE9">
      <w:pPr>
        <w:pStyle w:val="Default"/>
        <w:numPr>
          <w:ilvl w:val="0"/>
          <w:numId w:val="19"/>
        </w:numPr>
        <w:spacing w:line="500" w:lineRule="exact"/>
      </w:pPr>
      <w:r w:rsidRPr="00C641F2">
        <w:rPr>
          <w:rFonts w:hint="eastAsia"/>
        </w:rPr>
        <w:t>聯絡電話</w:t>
      </w:r>
      <w:r w:rsidRPr="00C641F2">
        <w:t>:(02)</w:t>
      </w:r>
      <w:r w:rsidR="000A396A" w:rsidRPr="00C641F2">
        <w:t>2428-2191</w:t>
      </w:r>
      <w:r w:rsidRPr="00C641F2">
        <w:rPr>
          <w:rFonts w:hint="eastAsia"/>
        </w:rPr>
        <w:t>分機</w:t>
      </w:r>
      <w:r w:rsidR="000A396A" w:rsidRPr="00C641F2">
        <w:t>10</w:t>
      </w:r>
      <w:r w:rsidRPr="00C641F2">
        <w:rPr>
          <w:rFonts w:hint="eastAsia"/>
        </w:rPr>
        <w:t>、</w:t>
      </w:r>
      <w:r w:rsidR="000A396A" w:rsidRPr="00C641F2">
        <w:t>11</w:t>
      </w:r>
      <w:r w:rsidR="00DD6AE9">
        <w:rPr>
          <w:rFonts w:hint="eastAsia"/>
        </w:rPr>
        <w:t>。</w:t>
      </w:r>
    </w:p>
    <w:p w14:paraId="6D2359B0" w14:textId="77777777" w:rsidR="00D10109" w:rsidRPr="00DD6AE9" w:rsidRDefault="00D10109" w:rsidP="00DD6AE9">
      <w:pPr>
        <w:pStyle w:val="Default"/>
        <w:numPr>
          <w:ilvl w:val="0"/>
          <w:numId w:val="19"/>
        </w:numPr>
        <w:spacing w:line="500" w:lineRule="exact"/>
      </w:pPr>
      <w:r w:rsidRPr="00C641F2">
        <w:rPr>
          <w:rFonts w:hint="eastAsia"/>
        </w:rPr>
        <w:t>電子信箱</w:t>
      </w:r>
      <w:r w:rsidRPr="00C641F2">
        <w:t>:</w:t>
      </w:r>
      <w:r w:rsidR="000A396A" w:rsidRPr="00C641F2">
        <w:t>aa7392@gm.kl.edu.tw</w:t>
      </w:r>
      <w:r w:rsidR="00DD6AE9">
        <w:rPr>
          <w:rFonts w:hint="eastAsia"/>
        </w:rPr>
        <w:t>。</w:t>
      </w:r>
    </w:p>
    <w:p w14:paraId="00349932" w14:textId="77777777" w:rsidR="00FB4B05" w:rsidRDefault="00FB4B05" w:rsidP="00D10109">
      <w:pPr>
        <w:rPr>
          <w:szCs w:val="24"/>
        </w:rPr>
      </w:pPr>
    </w:p>
    <w:p w14:paraId="7CE5C823" w14:textId="77777777" w:rsidR="00D62A69" w:rsidRDefault="00D62A69" w:rsidP="00D10109">
      <w:pPr>
        <w:rPr>
          <w:szCs w:val="24"/>
        </w:rPr>
      </w:pPr>
    </w:p>
    <w:p w14:paraId="163BD0AB" w14:textId="77777777" w:rsidR="00D62A69" w:rsidRDefault="00D62A69" w:rsidP="00D10109">
      <w:pPr>
        <w:rPr>
          <w:szCs w:val="24"/>
        </w:rPr>
      </w:pPr>
    </w:p>
    <w:p w14:paraId="77246806" w14:textId="77777777" w:rsidR="00D62A69" w:rsidRPr="00D62A69" w:rsidRDefault="00D62A69" w:rsidP="00DD6AE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62A69">
        <w:rPr>
          <w:rFonts w:ascii="標楷體" w:eastAsia="標楷體" w:hAnsi="標楷體" w:hint="eastAsia"/>
          <w:sz w:val="28"/>
          <w:szCs w:val="28"/>
        </w:rPr>
        <w:t>附</w:t>
      </w:r>
      <w:r w:rsidRPr="00D62A69">
        <w:rPr>
          <w:rFonts w:ascii="標楷體" w:eastAsia="標楷體" w:hAnsi="標楷體"/>
          <w:sz w:val="28"/>
          <w:szCs w:val="28"/>
        </w:rPr>
        <w:t>件</w:t>
      </w:r>
    </w:p>
    <w:p w14:paraId="4AB7B4FA" w14:textId="77777777" w:rsidR="00D62A69" w:rsidRPr="00D62A69" w:rsidRDefault="00D62A69" w:rsidP="00DD6AE9">
      <w:pPr>
        <w:spacing w:line="360" w:lineRule="exact"/>
        <w:rPr>
          <w:szCs w:val="24"/>
        </w:rPr>
      </w:pPr>
      <w:r w:rsidRPr="00D62A69">
        <w:rPr>
          <w:rFonts w:ascii="Times New Roman" w:eastAsia="標楷體" w:hAnsi="Times New Roman" w:cs="Times New Roman" w:hint="eastAsia"/>
          <w:b/>
          <w:sz w:val="28"/>
          <w:szCs w:val="36"/>
        </w:rPr>
        <w:t>國中教育會考學力品質監控資料與學生作答結果診斷分析</w:t>
      </w:r>
    </w:p>
    <w:p w14:paraId="4D80D587" w14:textId="3250D941" w:rsidR="00B531AB" w:rsidRPr="00E955DF" w:rsidRDefault="008A29D2" w:rsidP="00DD6AE9">
      <w:pPr>
        <w:widowControl/>
        <w:spacing w:line="360" w:lineRule="exact"/>
        <w:ind w:firstLineChars="200" w:firstLine="480"/>
        <w:contextualSpacing/>
        <w:jc w:val="both"/>
        <w:rPr>
          <w:rFonts w:ascii="Times New Roman" w:eastAsia="標楷體" w:hAnsi="Times New Roman" w:cs="Times New Roman"/>
        </w:rPr>
      </w:pPr>
      <w:r w:rsidRPr="00E955DF">
        <w:rPr>
          <w:rFonts w:ascii="Times New Roman" w:eastAsia="標楷體" w:hAnsi="Times New Roman" w:cs="Times New Roman" w:hint="eastAsia"/>
        </w:rPr>
        <w:t>國立臺灣師範大學心理與教育測驗研究發展中心（以下簡稱</w:t>
      </w:r>
      <w:r w:rsidRPr="00E955DF">
        <w:rPr>
          <w:rFonts w:ascii="Times New Roman" w:eastAsia="標楷體" w:hAnsi="Times New Roman" w:cs="Times New Roman"/>
        </w:rPr>
        <w:t>本中心</w:t>
      </w:r>
      <w:r w:rsidRPr="00E955DF">
        <w:rPr>
          <w:rFonts w:ascii="Times New Roman" w:eastAsia="標楷體" w:hAnsi="Times New Roman" w:cs="Times New Roman" w:hint="eastAsia"/>
        </w:rPr>
        <w:t>）每年提供各校國中教育會考學力品質分析報告</w:t>
      </w:r>
      <w:r w:rsidR="00860B41" w:rsidRPr="00E955DF">
        <w:rPr>
          <w:rFonts w:ascii="Times New Roman" w:eastAsia="標楷體" w:hAnsi="Times New Roman" w:cs="Times New Roman" w:hint="eastAsia"/>
        </w:rPr>
        <w:t>，本研習活動將說明如何解讀</w:t>
      </w:r>
      <w:r w:rsidR="00724EDB" w:rsidRPr="00E955DF">
        <w:rPr>
          <w:rFonts w:ascii="Times New Roman" w:eastAsia="標楷體" w:hAnsi="Times New Roman" w:cs="Times New Roman" w:hint="eastAsia"/>
        </w:rPr>
        <w:t>「學生成績報告」、「分項能力通過率分析」、「試題通過率分析」與「試題分析」等多項分析結果，</w:t>
      </w:r>
      <w:r w:rsidR="00B531AB" w:rsidRPr="00E955DF">
        <w:rPr>
          <w:rFonts w:ascii="Times New Roman" w:eastAsia="標楷體" w:hAnsi="Times New Roman" w:cs="Times New Roman" w:hint="eastAsia"/>
        </w:rPr>
        <w:t>期能</w:t>
      </w:r>
      <w:r w:rsidR="00724EDB" w:rsidRPr="00E955DF">
        <w:rPr>
          <w:rFonts w:ascii="Times New Roman" w:eastAsia="標楷體" w:hAnsi="Times New Roman" w:cs="Times New Roman" w:hint="eastAsia"/>
        </w:rPr>
        <w:t>協助現場教師快速瞭解國三學生學力狀況。</w:t>
      </w:r>
    </w:p>
    <w:p w14:paraId="6E8C11E2" w14:textId="045492A2" w:rsidR="00B531AB" w:rsidRPr="00E955DF" w:rsidRDefault="00B531AB" w:rsidP="00DD6AE9">
      <w:pPr>
        <w:widowControl/>
        <w:spacing w:line="360" w:lineRule="exact"/>
        <w:ind w:firstLineChars="200" w:firstLine="480"/>
        <w:contextualSpacing/>
        <w:jc w:val="both"/>
        <w:rPr>
          <w:rFonts w:ascii="Times New Roman" w:eastAsia="標楷體" w:hAnsi="Times New Roman" w:cs="Times New Roman"/>
        </w:rPr>
      </w:pPr>
      <w:proofErr w:type="gramStart"/>
      <w:r w:rsidRPr="00E955DF">
        <w:rPr>
          <w:rFonts w:ascii="Times New Roman" w:eastAsia="標楷體" w:hAnsi="Times New Roman" w:cs="Times New Roman" w:hint="eastAsia"/>
        </w:rPr>
        <w:t>此外，</w:t>
      </w:r>
      <w:proofErr w:type="gramEnd"/>
      <w:r w:rsidRPr="00E955DF">
        <w:rPr>
          <w:rFonts w:ascii="Times New Roman" w:eastAsia="標楷體" w:hAnsi="Times New Roman" w:cs="Times New Roman" w:hint="eastAsia"/>
        </w:rPr>
        <w:t>為</w:t>
      </w:r>
      <w:r w:rsidR="00D62A69" w:rsidRPr="00E955DF">
        <w:rPr>
          <w:rFonts w:ascii="Times New Roman" w:eastAsia="標楷體" w:hAnsi="Times New Roman" w:cs="Times New Roman"/>
        </w:rPr>
        <w:t>進一步</w:t>
      </w:r>
      <w:r w:rsidR="00D62A69" w:rsidRPr="00E955DF">
        <w:rPr>
          <w:rFonts w:ascii="Times New Roman" w:eastAsia="標楷體" w:hAnsi="Times New Roman" w:cs="Times New Roman" w:hint="eastAsia"/>
        </w:rPr>
        <w:t>提供現場教師不同面向的</w:t>
      </w:r>
      <w:r w:rsidR="00D62A69" w:rsidRPr="00E955DF">
        <w:rPr>
          <w:rFonts w:ascii="Times New Roman" w:eastAsia="標楷體" w:hAnsi="Times New Roman" w:cs="Times New Roman"/>
        </w:rPr>
        <w:t>學力品質回饋資訊，</w:t>
      </w:r>
      <w:r w:rsidRPr="00E955DF">
        <w:rPr>
          <w:rFonts w:ascii="Times New Roman" w:eastAsia="標楷體" w:hAnsi="Times New Roman" w:cs="Times New Roman" w:hint="eastAsia"/>
        </w:rPr>
        <w:t>本</w:t>
      </w:r>
      <w:r w:rsidR="00D62A69" w:rsidRPr="00E955DF">
        <w:rPr>
          <w:rFonts w:ascii="Times New Roman" w:eastAsia="標楷體" w:hAnsi="Times New Roman" w:cs="Times New Roman"/>
        </w:rPr>
        <w:t>中心</w:t>
      </w:r>
      <w:r w:rsidR="00D62A69" w:rsidRPr="00E955DF">
        <w:rPr>
          <w:rFonts w:ascii="Times New Roman" w:eastAsia="標楷體" w:hAnsi="Times New Roman" w:cs="Times New Roman" w:hint="eastAsia"/>
        </w:rPr>
        <w:t>運用學生</w:t>
      </w:r>
      <w:r w:rsidR="00D62A69" w:rsidRPr="00E955DF">
        <w:rPr>
          <w:rFonts w:ascii="Calibri" w:eastAsia="標楷體" w:hAnsi="Calibri" w:cs="Times New Roman" w:hint="eastAsia"/>
        </w:rPr>
        <w:t>作答結果診斷分析技術（</w:t>
      </w:r>
      <w:r w:rsidR="00D62A69" w:rsidRPr="00E955DF">
        <w:rPr>
          <w:rFonts w:ascii="Times New Roman" w:eastAsia="標楷體" w:hAnsi="Times New Roman" w:cs="Times New Roman" w:hint="eastAsia"/>
        </w:rPr>
        <w:t>以下簡稱為</w:t>
      </w:r>
      <w:proofErr w:type="spellStart"/>
      <w:r w:rsidR="00D62A69" w:rsidRPr="00E955DF">
        <w:rPr>
          <w:rFonts w:ascii="Times New Roman" w:eastAsia="標楷體" w:hAnsi="Times New Roman" w:cs="Times New Roman" w:hint="eastAsia"/>
        </w:rPr>
        <w:t>Kidmap</w:t>
      </w:r>
      <w:proofErr w:type="spellEnd"/>
      <w:r w:rsidR="00D62A69" w:rsidRPr="00E955DF">
        <w:rPr>
          <w:rFonts w:ascii="Times New Roman" w:eastAsia="標楷體" w:hAnsi="Times New Roman" w:cs="Times New Roman" w:hint="eastAsia"/>
        </w:rPr>
        <w:t>分析）分析測驗資料，比較學生在各試題的實際作答結果以及預測作答結果，判斷每位學生在每道試題的作答結果合理性</w:t>
      </w:r>
      <w:r w:rsidRPr="00E955DF">
        <w:rPr>
          <w:rFonts w:ascii="Times New Roman" w:eastAsia="標楷體" w:hAnsi="Times New Roman" w:cs="Times New Roman" w:hint="eastAsia"/>
        </w:rPr>
        <w:t>，本研習活動將說明</w:t>
      </w:r>
      <w:r w:rsidR="007A1CA3" w:rsidRPr="00E955DF">
        <w:rPr>
          <w:rFonts w:ascii="Times New Roman" w:eastAsia="標楷體" w:hAnsi="Times New Roman" w:cs="Times New Roman" w:hint="eastAsia"/>
        </w:rPr>
        <w:t>如何解讀此分析結果，期能</w:t>
      </w:r>
      <w:r w:rsidR="00D62A69" w:rsidRPr="00E955DF">
        <w:rPr>
          <w:rFonts w:ascii="Times New Roman" w:eastAsia="標楷體" w:hAnsi="Times New Roman" w:cs="Times New Roman" w:hint="eastAsia"/>
        </w:rPr>
        <w:t>幫助</w:t>
      </w:r>
      <w:r w:rsidR="007A1CA3" w:rsidRPr="00E955DF">
        <w:rPr>
          <w:rFonts w:ascii="Times New Roman" w:eastAsia="標楷體" w:hAnsi="Times New Roman" w:cs="Times New Roman" w:hint="eastAsia"/>
        </w:rPr>
        <w:t>現場教師</w:t>
      </w:r>
      <w:r w:rsidR="00D62A69" w:rsidRPr="00E955DF">
        <w:rPr>
          <w:rFonts w:ascii="Times New Roman" w:eastAsia="標楷體" w:hAnsi="Times New Roman" w:cs="Times New Roman" w:hint="eastAsia"/>
        </w:rPr>
        <w:t>診斷學生是否對特定學習內容產生</w:t>
      </w:r>
      <w:proofErr w:type="gramStart"/>
      <w:r w:rsidR="00D62A69" w:rsidRPr="00E955DF">
        <w:rPr>
          <w:rFonts w:ascii="Times New Roman" w:eastAsia="標楷體" w:hAnsi="Times New Roman" w:cs="Times New Roman" w:hint="eastAsia"/>
        </w:rPr>
        <w:t>迷思或具</w:t>
      </w:r>
      <w:proofErr w:type="gramEnd"/>
      <w:r w:rsidR="00D62A69" w:rsidRPr="00E955DF">
        <w:rPr>
          <w:rFonts w:ascii="Times New Roman" w:eastAsia="標楷體" w:hAnsi="Times New Roman" w:cs="Times New Roman" w:hint="eastAsia"/>
        </w:rPr>
        <w:t>備優勢概念</w:t>
      </w:r>
      <w:r w:rsidR="007A1CA3" w:rsidRPr="00E955DF">
        <w:rPr>
          <w:rFonts w:ascii="Times New Roman" w:eastAsia="標楷體" w:hAnsi="Times New Roman" w:cs="Times New Roman" w:hint="eastAsia"/>
        </w:rPr>
        <w:t>，以利探討可能成因並提出預防、矯正與改善之策略</w:t>
      </w:r>
      <w:r w:rsidR="007A1CA3" w:rsidRPr="00E955DF">
        <w:rPr>
          <w:rFonts w:ascii="Times New Roman" w:eastAsia="標楷體" w:hAnsi="Times New Roman" w:cs="Times New Roman"/>
        </w:rPr>
        <w:t>。</w:t>
      </w:r>
    </w:p>
    <w:p w14:paraId="2F482F40" w14:textId="77777777" w:rsidR="00D62A69" w:rsidRPr="00E955DF" w:rsidRDefault="00D62A69" w:rsidP="00DD6AE9">
      <w:pPr>
        <w:widowControl/>
        <w:spacing w:line="360" w:lineRule="exact"/>
        <w:ind w:firstLineChars="200" w:firstLine="480"/>
        <w:contextualSpacing/>
        <w:jc w:val="both"/>
        <w:rPr>
          <w:rFonts w:ascii="Times New Roman" w:eastAsia="標楷體" w:hAnsi="Times New Roman" w:cs="Times New Roman"/>
        </w:rPr>
      </w:pPr>
    </w:p>
    <w:p w14:paraId="7F497360" w14:textId="77777777" w:rsidR="00D62A69" w:rsidRPr="00E955DF" w:rsidRDefault="00D62A69" w:rsidP="00DD6AE9">
      <w:pPr>
        <w:widowControl/>
        <w:spacing w:line="360" w:lineRule="exact"/>
        <w:contextualSpacing/>
        <w:jc w:val="both"/>
        <w:rPr>
          <w:rFonts w:ascii="Times New Roman" w:eastAsia="標楷體" w:hAnsi="Times New Roman" w:cs="Times New Roman"/>
        </w:rPr>
      </w:pPr>
      <w:r w:rsidRPr="00E955DF">
        <w:rPr>
          <w:rFonts w:ascii="Times New Roman" w:eastAsia="標楷體" w:hAnsi="Times New Roman" w:cs="Times New Roman" w:hint="eastAsia"/>
          <w:b/>
          <w:sz w:val="28"/>
          <w:szCs w:val="36"/>
        </w:rPr>
        <w:t>素養導向數位評量</w:t>
      </w:r>
    </w:p>
    <w:p w14:paraId="2D989B9D" w14:textId="4A96AF56" w:rsidR="00217580" w:rsidRPr="00E955DF" w:rsidRDefault="004E6E36" w:rsidP="004E6E36">
      <w:pPr>
        <w:widowControl/>
        <w:spacing w:line="360" w:lineRule="exact"/>
        <w:ind w:firstLineChars="200" w:firstLine="480"/>
        <w:contextualSpacing/>
        <w:jc w:val="both"/>
        <w:rPr>
          <w:rFonts w:ascii="標楷體" w:eastAsia="標楷體" w:hAnsi="標楷體" w:cs="Times New Roman"/>
        </w:rPr>
      </w:pPr>
      <w:r w:rsidRPr="00E955DF">
        <w:rPr>
          <w:rFonts w:ascii="標楷體" w:eastAsia="標楷體" w:hAnsi="標楷體" w:cs="Times New Roman" w:hint="eastAsia"/>
        </w:rPr>
        <w:t>拜電腦科技的進步，作答的方式與試題素材能有明顯的改變，例如能利用滑鼠拖曳、圖形圈選，電腦繪圖等作答方式</w:t>
      </w:r>
      <w:proofErr w:type="gramStart"/>
      <w:r w:rsidRPr="00E955DF">
        <w:rPr>
          <w:rFonts w:ascii="標楷體" w:eastAsia="標楷體" w:hAnsi="標楷體" w:cs="Times New Roman" w:hint="eastAsia"/>
        </w:rPr>
        <w:t>來作</w:t>
      </w:r>
      <w:proofErr w:type="gramEnd"/>
      <w:r w:rsidRPr="00E955DF">
        <w:rPr>
          <w:rFonts w:ascii="標楷體" w:eastAsia="標楷體" w:hAnsi="標楷體" w:cs="Times New Roman" w:hint="eastAsia"/>
        </w:rPr>
        <w:t>答，也能利用多媒體技術來仿照真實的生活情境，許多大型測驗為了提升評量工具的真實性，以及提高測驗的</w:t>
      </w:r>
      <w:proofErr w:type="gramStart"/>
      <w:r w:rsidRPr="00E955DF">
        <w:rPr>
          <w:rFonts w:ascii="標楷體" w:eastAsia="標楷體" w:hAnsi="標楷體" w:cs="Times New Roman" w:hint="eastAsia"/>
        </w:rPr>
        <w:t>信效</w:t>
      </w:r>
      <w:proofErr w:type="gramEnd"/>
      <w:r w:rsidRPr="00E955DF">
        <w:rPr>
          <w:rFonts w:ascii="標楷體" w:eastAsia="標楷體" w:hAnsi="標楷體" w:cs="Times New Roman" w:hint="eastAsia"/>
        </w:rPr>
        <w:t>度，紛紛實施電腦化測驗。</w:t>
      </w:r>
      <w:proofErr w:type="gramStart"/>
      <w:r w:rsidR="00255510" w:rsidRPr="00E955DF">
        <w:rPr>
          <w:rFonts w:ascii="標楷體" w:eastAsia="標楷體" w:hAnsi="標楷體" w:cs="Times New Roman" w:hint="eastAsia"/>
        </w:rPr>
        <w:t>此外，</w:t>
      </w:r>
      <w:r w:rsidRPr="00E955DF">
        <w:rPr>
          <w:rFonts w:ascii="標楷體" w:eastAsia="標楷體" w:hAnsi="標楷體" w:cs="Times New Roman" w:hint="eastAsia"/>
        </w:rPr>
        <w:t>108課綱</w:t>
      </w:r>
      <w:r w:rsidR="00255510" w:rsidRPr="00E955DF">
        <w:rPr>
          <w:rFonts w:ascii="標楷體" w:eastAsia="標楷體" w:hAnsi="標楷體" w:cs="Times New Roman" w:hint="eastAsia"/>
        </w:rPr>
        <w:t>亦</w:t>
      </w:r>
      <w:proofErr w:type="gramEnd"/>
      <w:r w:rsidRPr="00E955DF">
        <w:rPr>
          <w:rFonts w:ascii="標楷體" w:eastAsia="標楷體" w:hAnsi="標楷體" w:cs="Times New Roman" w:hint="eastAsia"/>
        </w:rPr>
        <w:t>強調</w:t>
      </w:r>
      <w:r w:rsidR="00255510" w:rsidRPr="00E955DF">
        <w:rPr>
          <w:rFonts w:ascii="標楷體" w:eastAsia="標楷體" w:hAnsi="標楷體" w:cs="Times New Roman" w:hint="eastAsia"/>
        </w:rPr>
        <w:t>培養學生</w:t>
      </w:r>
      <w:r w:rsidRPr="00E955DF">
        <w:rPr>
          <w:rFonts w:ascii="標楷體" w:eastAsia="標楷體" w:hAnsi="標楷體" w:cs="Times New Roman" w:hint="eastAsia"/>
        </w:rPr>
        <w:t>善用科技資訊的相關能力，以及使用科技資訊來進行分析、思辨與批判等各項解決問題的能力</w:t>
      </w:r>
      <w:r w:rsidR="00255510" w:rsidRPr="00E955DF">
        <w:rPr>
          <w:rFonts w:ascii="標楷體" w:eastAsia="標楷體" w:hAnsi="標楷體" w:cs="Times New Roman" w:hint="eastAsia"/>
        </w:rPr>
        <w:t>。</w:t>
      </w:r>
      <w:r w:rsidR="009F18D3" w:rsidRPr="00E955DF">
        <w:rPr>
          <w:rFonts w:ascii="標楷體" w:eastAsia="標楷體" w:hAnsi="標楷體" w:cs="Times New Roman" w:hint="eastAsia"/>
        </w:rPr>
        <w:t>為呼應108</w:t>
      </w:r>
      <w:proofErr w:type="gramStart"/>
      <w:r w:rsidR="009F18D3" w:rsidRPr="00E955DF">
        <w:rPr>
          <w:rFonts w:ascii="標楷體" w:eastAsia="標楷體" w:hAnsi="標楷體" w:cs="Times New Roman" w:hint="eastAsia"/>
        </w:rPr>
        <w:t>課綱揭示</w:t>
      </w:r>
      <w:proofErr w:type="gramEnd"/>
      <w:r w:rsidR="009F18D3" w:rsidRPr="00E955DF">
        <w:rPr>
          <w:rFonts w:ascii="標楷體" w:eastAsia="標楷體" w:hAnsi="標楷體" w:cs="Times New Roman" w:hint="eastAsia"/>
        </w:rPr>
        <w:t>的理念，</w:t>
      </w:r>
      <w:r w:rsidR="009F18D3" w:rsidRPr="00E955DF">
        <w:rPr>
          <w:rFonts w:ascii="Times New Roman" w:eastAsia="標楷體" w:hAnsi="Times New Roman" w:cs="Times New Roman"/>
        </w:rPr>
        <w:t>本中心</w:t>
      </w:r>
      <w:r w:rsidR="009F18D3" w:rsidRPr="00E955DF">
        <w:rPr>
          <w:rFonts w:ascii="Times New Roman" w:eastAsia="標楷體" w:hAnsi="Times New Roman" w:cs="Times New Roman" w:hint="eastAsia"/>
        </w:rPr>
        <w:t>已研發</w:t>
      </w:r>
      <w:r w:rsidR="009F18D3" w:rsidRPr="00E955DF">
        <w:rPr>
          <w:rFonts w:ascii="標楷體" w:eastAsia="標楷體" w:hAnsi="標楷體" w:cs="Times New Roman" w:hint="eastAsia"/>
        </w:rPr>
        <w:t>能評量學科素養的數位評量工具。</w:t>
      </w:r>
    </w:p>
    <w:p w14:paraId="6369DE11" w14:textId="7C792991" w:rsidR="00255510" w:rsidRPr="00E955DF" w:rsidRDefault="00255510" w:rsidP="004E6E36">
      <w:pPr>
        <w:widowControl/>
        <w:spacing w:line="360" w:lineRule="exact"/>
        <w:ind w:firstLineChars="200" w:firstLine="480"/>
        <w:contextualSpacing/>
        <w:jc w:val="both"/>
        <w:rPr>
          <w:rFonts w:ascii="Times New Roman" w:eastAsia="標楷體" w:hAnsi="Times New Roman" w:cs="Times New Roman"/>
        </w:rPr>
      </w:pPr>
      <w:r w:rsidRPr="00E955DF">
        <w:rPr>
          <w:rFonts w:ascii="Times New Roman" w:eastAsia="標楷體" w:hAnsi="Times New Roman" w:cs="Times New Roman" w:hint="eastAsia"/>
        </w:rPr>
        <w:t>本研習活動將</w:t>
      </w:r>
      <w:r w:rsidR="00217580" w:rsidRPr="00E955DF">
        <w:rPr>
          <w:rFonts w:ascii="標楷體" w:eastAsia="標楷體" w:hAnsi="標楷體" w:cs="Times New Roman" w:hint="eastAsia"/>
        </w:rPr>
        <w:t>介紹</w:t>
      </w:r>
      <w:r w:rsidR="009F18D3" w:rsidRPr="00E955DF">
        <w:rPr>
          <w:rFonts w:ascii="標楷體" w:eastAsia="標楷體" w:hAnsi="標楷體" w:cs="Times New Roman" w:hint="eastAsia"/>
        </w:rPr>
        <w:t>與</w:t>
      </w:r>
      <w:r w:rsidRPr="00E955DF">
        <w:rPr>
          <w:rFonts w:ascii="Times New Roman" w:eastAsia="標楷體" w:hAnsi="Times New Roman" w:cs="Times New Roman" w:hint="eastAsia"/>
        </w:rPr>
        <w:t>說明如何利用</w:t>
      </w:r>
      <w:r w:rsidR="00BD3ED4" w:rsidRPr="00E955DF">
        <w:rPr>
          <w:rFonts w:ascii="Times New Roman" w:eastAsia="標楷體" w:hAnsi="Times New Roman" w:cs="Times New Roman" w:hint="eastAsia"/>
        </w:rPr>
        <w:t>「概念構圖」與「互動推理能力測驗」等數位</w:t>
      </w:r>
      <w:r w:rsidRPr="00E955DF">
        <w:rPr>
          <w:rFonts w:ascii="標楷體" w:eastAsia="標楷體" w:hAnsi="標楷體" w:cs="Times New Roman" w:hint="eastAsia"/>
        </w:rPr>
        <w:t>工具</w:t>
      </w:r>
      <w:r w:rsidR="00BD3ED4" w:rsidRPr="00E955DF">
        <w:rPr>
          <w:rFonts w:ascii="標楷體" w:eastAsia="標楷體" w:hAnsi="標楷體" w:cs="Times New Roman" w:hint="eastAsia"/>
        </w:rPr>
        <w:t>來</w:t>
      </w:r>
      <w:r w:rsidR="00217580" w:rsidRPr="00E955DF">
        <w:rPr>
          <w:rFonts w:ascii="標楷體" w:eastAsia="標楷體" w:hAnsi="標楷體" w:cs="Times New Roman" w:hint="eastAsia"/>
        </w:rPr>
        <w:t>研發試題，</w:t>
      </w:r>
      <w:r w:rsidRPr="00E955DF">
        <w:rPr>
          <w:rFonts w:ascii="標楷體" w:eastAsia="標楷體" w:hAnsi="標楷體" w:cs="Times New Roman" w:hint="eastAsia"/>
        </w:rPr>
        <w:t>在試題中展示</w:t>
      </w:r>
      <w:r w:rsidR="00DB199B" w:rsidRPr="00E955DF">
        <w:rPr>
          <w:rFonts w:ascii="標楷體" w:eastAsia="標楷體" w:hAnsi="標楷體" w:cs="Times New Roman" w:hint="eastAsia"/>
        </w:rPr>
        <w:t>生活</w:t>
      </w:r>
      <w:r w:rsidRPr="00E955DF">
        <w:rPr>
          <w:rFonts w:ascii="標楷體" w:eastAsia="標楷體" w:hAnsi="標楷體" w:cs="Times New Roman" w:hint="eastAsia"/>
        </w:rPr>
        <w:t>情境中可能面臨的問題，</w:t>
      </w:r>
      <w:r w:rsidR="00217580" w:rsidRPr="00E955DF">
        <w:rPr>
          <w:rFonts w:ascii="標楷體" w:eastAsia="標楷體" w:hAnsi="標楷體" w:cs="Times New Roman" w:hint="eastAsia"/>
        </w:rPr>
        <w:t>並</w:t>
      </w:r>
      <w:r w:rsidR="00DB199B" w:rsidRPr="00E955DF">
        <w:rPr>
          <w:rFonts w:ascii="標楷體" w:eastAsia="標楷體" w:hAnsi="標楷體" w:cs="Times New Roman" w:hint="eastAsia"/>
        </w:rPr>
        <w:t>觀察與紀錄</w:t>
      </w:r>
      <w:r w:rsidRPr="00E955DF">
        <w:rPr>
          <w:rFonts w:ascii="標楷體" w:eastAsia="標楷體" w:hAnsi="標楷體" w:cs="Times New Roman" w:hint="eastAsia"/>
        </w:rPr>
        <w:t>學生</w:t>
      </w:r>
      <w:r w:rsidR="00217580" w:rsidRPr="00E955DF">
        <w:rPr>
          <w:rFonts w:ascii="標楷體" w:eastAsia="標楷體" w:hAnsi="標楷體" w:cs="Times New Roman" w:hint="eastAsia"/>
        </w:rPr>
        <w:t>的作答歷程與結果</w:t>
      </w:r>
      <w:r w:rsidRPr="00E955DF">
        <w:rPr>
          <w:rFonts w:ascii="標楷體" w:eastAsia="標楷體" w:hAnsi="標楷體" w:cs="Times New Roman" w:hint="eastAsia"/>
        </w:rPr>
        <w:t>，</w:t>
      </w:r>
      <w:r w:rsidR="009F18D3" w:rsidRPr="00E955DF">
        <w:rPr>
          <w:rFonts w:ascii="標楷體" w:eastAsia="標楷體" w:hAnsi="標楷體" w:cs="Times New Roman" w:hint="eastAsia"/>
        </w:rPr>
        <w:t>以利</w:t>
      </w:r>
      <w:r w:rsidR="00840E2A" w:rsidRPr="00E955DF">
        <w:rPr>
          <w:rFonts w:ascii="標楷體" w:eastAsia="標楷體" w:hAnsi="標楷體" w:cs="Times New Roman" w:hint="eastAsia"/>
        </w:rPr>
        <w:t>評量學生在各領域素養的學習表現</w:t>
      </w:r>
      <w:r w:rsidRPr="00E955DF">
        <w:rPr>
          <w:rFonts w:ascii="標楷體" w:eastAsia="標楷體" w:hAnsi="標楷體" w:cs="Times New Roman" w:hint="eastAsia"/>
        </w:rPr>
        <w:t>。</w:t>
      </w:r>
    </w:p>
    <w:sectPr w:rsidR="00255510" w:rsidRPr="00E955DF" w:rsidSect="00104A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BF294" w14:textId="77777777" w:rsidR="00C2043E" w:rsidRDefault="00C2043E" w:rsidP="00893196">
      <w:r>
        <w:separator/>
      </w:r>
    </w:p>
  </w:endnote>
  <w:endnote w:type="continuationSeparator" w:id="0">
    <w:p w14:paraId="1D608C83" w14:textId="77777777" w:rsidR="00C2043E" w:rsidRDefault="00C2043E" w:rsidP="0089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AD685" w14:textId="77777777" w:rsidR="00C2043E" w:rsidRDefault="00C2043E" w:rsidP="00893196">
      <w:r>
        <w:separator/>
      </w:r>
    </w:p>
  </w:footnote>
  <w:footnote w:type="continuationSeparator" w:id="0">
    <w:p w14:paraId="19E737ED" w14:textId="77777777" w:rsidR="00C2043E" w:rsidRDefault="00C2043E" w:rsidP="0089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02E6"/>
    <w:multiLevelType w:val="hybridMultilevel"/>
    <w:tmpl w:val="CF8A9552"/>
    <w:lvl w:ilvl="0" w:tplc="FC247F1A">
      <w:start w:val="3"/>
      <w:numFmt w:val="taiwaneseCountingThousand"/>
      <w:lvlText w:val="%1、"/>
      <w:lvlJc w:val="left"/>
      <w:pPr>
        <w:ind w:left="1287" w:hanging="360"/>
      </w:pPr>
      <w:rPr>
        <w:rFonts w:ascii="標楷體" w:hAnsiTheme="minorHAnsi" w:cs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0D7981"/>
    <w:multiLevelType w:val="hybridMultilevel"/>
    <w:tmpl w:val="2320DF84"/>
    <w:lvl w:ilvl="0" w:tplc="FC247F1A">
      <w:start w:val="3"/>
      <w:numFmt w:val="taiwaneseCountingThousand"/>
      <w:lvlText w:val="%1、"/>
      <w:lvlJc w:val="left"/>
      <w:pPr>
        <w:ind w:left="1287" w:hanging="360"/>
      </w:pPr>
      <w:rPr>
        <w:rFonts w:ascii="標楷體" w:hAnsiTheme="minorHAnsi" w:cs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346DA3"/>
    <w:multiLevelType w:val="hybridMultilevel"/>
    <w:tmpl w:val="97EA805E"/>
    <w:lvl w:ilvl="0" w:tplc="CB503C92">
      <w:start w:val="7"/>
      <w:numFmt w:val="ideographLegalTradition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107B"/>
    <w:multiLevelType w:val="hybridMultilevel"/>
    <w:tmpl w:val="DEEA4B16"/>
    <w:lvl w:ilvl="0" w:tplc="0D8C35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94805"/>
    <w:multiLevelType w:val="hybridMultilevel"/>
    <w:tmpl w:val="401A9526"/>
    <w:lvl w:ilvl="0" w:tplc="BB7C0876">
      <w:start w:val="1"/>
      <w:numFmt w:val="ideographLegalTradition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F22"/>
    <w:multiLevelType w:val="hybridMultilevel"/>
    <w:tmpl w:val="087E43E4"/>
    <w:lvl w:ilvl="0" w:tplc="4B7E8E94">
      <w:start w:val="1"/>
      <w:numFmt w:val="taiwaneseCountingThousand"/>
      <w:lvlText w:val="%1、"/>
      <w:lvlJc w:val="left"/>
      <w:pPr>
        <w:ind w:left="720" w:hanging="360"/>
      </w:pPr>
      <w:rPr>
        <w:rFonts w:ascii="標楷體" w:hAnsiTheme="minorHAnsi" w:cs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154E"/>
    <w:multiLevelType w:val="hybridMultilevel"/>
    <w:tmpl w:val="C14E795C"/>
    <w:lvl w:ilvl="0" w:tplc="09AAFD3A">
      <w:start w:val="1"/>
      <w:numFmt w:val="taiwaneseCountingThousand"/>
      <w:lvlText w:val="%1、"/>
      <w:lvlJc w:val="left"/>
      <w:pPr>
        <w:ind w:left="720" w:hanging="360"/>
      </w:pPr>
      <w:rPr>
        <w:rFonts w:ascii="標楷體" w:hAnsiTheme="minorHAnsi" w:cs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B590F"/>
    <w:multiLevelType w:val="hybridMultilevel"/>
    <w:tmpl w:val="C92ADDBE"/>
    <w:lvl w:ilvl="0" w:tplc="0F5ECE56">
      <w:start w:val="1"/>
      <w:numFmt w:val="taiwaneseCountingThousand"/>
      <w:lvlText w:val="%1、"/>
      <w:lvlJc w:val="left"/>
      <w:pPr>
        <w:ind w:left="720" w:hanging="360"/>
      </w:pPr>
      <w:rPr>
        <w:rFonts w:ascii="標楷體" w:hAnsiTheme="minorHAnsi" w:cs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F0C"/>
    <w:multiLevelType w:val="hybridMultilevel"/>
    <w:tmpl w:val="F32C911C"/>
    <w:lvl w:ilvl="0" w:tplc="7E6EC27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A8549F6"/>
    <w:multiLevelType w:val="hybridMultilevel"/>
    <w:tmpl w:val="E8C68FF6"/>
    <w:lvl w:ilvl="0" w:tplc="FC247F1A">
      <w:start w:val="3"/>
      <w:numFmt w:val="taiwaneseCountingThousand"/>
      <w:lvlText w:val="%1、"/>
      <w:lvlJc w:val="left"/>
      <w:pPr>
        <w:ind w:left="720" w:hanging="360"/>
      </w:pPr>
      <w:rPr>
        <w:rFonts w:ascii="標楷體" w:hAnsiTheme="minorHAnsi" w:cs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24175"/>
    <w:multiLevelType w:val="hybridMultilevel"/>
    <w:tmpl w:val="702826AA"/>
    <w:lvl w:ilvl="0" w:tplc="FC247F1A">
      <w:start w:val="3"/>
      <w:numFmt w:val="taiwaneseCountingThousand"/>
      <w:lvlText w:val="%1、"/>
      <w:lvlJc w:val="left"/>
      <w:pPr>
        <w:ind w:left="480" w:hanging="480"/>
      </w:pPr>
      <w:rPr>
        <w:rFonts w:ascii="標楷體" w:hAnsiTheme="minorHAnsi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F3E29"/>
    <w:multiLevelType w:val="hybridMultilevel"/>
    <w:tmpl w:val="65F83D7C"/>
    <w:lvl w:ilvl="0" w:tplc="1C1833B0">
      <w:start w:val="1"/>
      <w:numFmt w:val="ideographLegalTradition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C0B90"/>
    <w:multiLevelType w:val="hybridMultilevel"/>
    <w:tmpl w:val="841221E0"/>
    <w:lvl w:ilvl="0" w:tplc="FC247F1A">
      <w:start w:val="3"/>
      <w:numFmt w:val="taiwaneseCountingThousand"/>
      <w:lvlText w:val="%1、"/>
      <w:lvlJc w:val="left"/>
      <w:pPr>
        <w:ind w:left="720" w:hanging="360"/>
      </w:pPr>
      <w:rPr>
        <w:rFonts w:ascii="標楷體" w:hAnsiTheme="minorHAnsi" w:cs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D00C6"/>
    <w:multiLevelType w:val="hybridMultilevel"/>
    <w:tmpl w:val="B096DC12"/>
    <w:lvl w:ilvl="0" w:tplc="B930EB38">
      <w:start w:val="8"/>
      <w:numFmt w:val="ideographLegalTradition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C1896"/>
    <w:multiLevelType w:val="hybridMultilevel"/>
    <w:tmpl w:val="F2D215E4"/>
    <w:lvl w:ilvl="0" w:tplc="9800B89C">
      <w:start w:val="4"/>
      <w:numFmt w:val="ideographLegalTradition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11746"/>
    <w:multiLevelType w:val="hybridMultilevel"/>
    <w:tmpl w:val="2C1214C2"/>
    <w:lvl w:ilvl="0" w:tplc="F508E966">
      <w:start w:val="1"/>
      <w:numFmt w:val="taiwaneseCountingThousand"/>
      <w:lvlText w:val="%1、"/>
      <w:lvlJc w:val="left"/>
      <w:pPr>
        <w:ind w:left="720" w:hanging="360"/>
      </w:pPr>
      <w:rPr>
        <w:rFonts w:ascii="標楷體" w:hAnsiTheme="minorHAnsi" w:cs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6574C"/>
    <w:multiLevelType w:val="hybridMultilevel"/>
    <w:tmpl w:val="897E32A2"/>
    <w:lvl w:ilvl="0" w:tplc="BB7C0876">
      <w:start w:val="1"/>
      <w:numFmt w:val="ideographLegalTradition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65BB4"/>
    <w:multiLevelType w:val="hybridMultilevel"/>
    <w:tmpl w:val="A946797E"/>
    <w:lvl w:ilvl="0" w:tplc="BB7C0876">
      <w:start w:val="1"/>
      <w:numFmt w:val="ideographLegalTradition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614D3"/>
    <w:multiLevelType w:val="hybridMultilevel"/>
    <w:tmpl w:val="14EE3E18"/>
    <w:lvl w:ilvl="0" w:tplc="BB7C0876">
      <w:start w:val="1"/>
      <w:numFmt w:val="ideographLegalTradition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A3704"/>
    <w:multiLevelType w:val="hybridMultilevel"/>
    <w:tmpl w:val="5490A816"/>
    <w:lvl w:ilvl="0" w:tplc="8636544C">
      <w:start w:val="1"/>
      <w:numFmt w:val="taiwaneseCountingThousand"/>
      <w:lvlText w:val="%1、"/>
      <w:lvlJc w:val="left"/>
      <w:pPr>
        <w:ind w:left="720" w:hanging="360"/>
      </w:pPr>
      <w:rPr>
        <w:rFonts w:ascii="標楷體" w:hAnsiTheme="minorHAnsi" w:cs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2"/>
  </w:num>
  <w:num w:numId="5">
    <w:abstractNumId w:val="15"/>
  </w:num>
  <w:num w:numId="6">
    <w:abstractNumId w:val="11"/>
  </w:num>
  <w:num w:numId="7">
    <w:abstractNumId w:val="18"/>
  </w:num>
  <w:num w:numId="8">
    <w:abstractNumId w:val="4"/>
  </w:num>
  <w:num w:numId="9">
    <w:abstractNumId w:val="14"/>
  </w:num>
  <w:num w:numId="10">
    <w:abstractNumId w:val="1"/>
  </w:num>
  <w:num w:numId="11">
    <w:abstractNumId w:val="7"/>
  </w:num>
  <w:num w:numId="12">
    <w:abstractNumId w:val="17"/>
  </w:num>
  <w:num w:numId="13">
    <w:abstractNumId w:val="2"/>
  </w:num>
  <w:num w:numId="14">
    <w:abstractNumId w:val="0"/>
  </w:num>
  <w:num w:numId="15">
    <w:abstractNumId w:val="6"/>
  </w:num>
  <w:num w:numId="16">
    <w:abstractNumId w:val="9"/>
  </w:num>
  <w:num w:numId="17">
    <w:abstractNumId w:val="16"/>
  </w:num>
  <w:num w:numId="18">
    <w:abstractNumId w:val="13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98"/>
    <w:rsid w:val="00050512"/>
    <w:rsid w:val="000A396A"/>
    <w:rsid w:val="000B102D"/>
    <w:rsid w:val="000C5E17"/>
    <w:rsid w:val="000E4E74"/>
    <w:rsid w:val="00101A20"/>
    <w:rsid w:val="00103963"/>
    <w:rsid w:val="00104A14"/>
    <w:rsid w:val="00105056"/>
    <w:rsid w:val="001366A1"/>
    <w:rsid w:val="00140B8D"/>
    <w:rsid w:val="001608AA"/>
    <w:rsid w:val="002026B1"/>
    <w:rsid w:val="00210AD8"/>
    <w:rsid w:val="00217580"/>
    <w:rsid w:val="00255510"/>
    <w:rsid w:val="00264A65"/>
    <w:rsid w:val="002655BF"/>
    <w:rsid w:val="002927CA"/>
    <w:rsid w:val="002F7761"/>
    <w:rsid w:val="00300EDA"/>
    <w:rsid w:val="00312D90"/>
    <w:rsid w:val="003347AD"/>
    <w:rsid w:val="00345AE2"/>
    <w:rsid w:val="003D1AD2"/>
    <w:rsid w:val="004339F2"/>
    <w:rsid w:val="004A549A"/>
    <w:rsid w:val="004B3F27"/>
    <w:rsid w:val="004D0D08"/>
    <w:rsid w:val="004E6E36"/>
    <w:rsid w:val="004E7BBA"/>
    <w:rsid w:val="005157B5"/>
    <w:rsid w:val="0052310F"/>
    <w:rsid w:val="005331A4"/>
    <w:rsid w:val="0055626E"/>
    <w:rsid w:val="00567D19"/>
    <w:rsid w:val="00612624"/>
    <w:rsid w:val="00651A7C"/>
    <w:rsid w:val="006A12A5"/>
    <w:rsid w:val="006C20F8"/>
    <w:rsid w:val="006C5116"/>
    <w:rsid w:val="006E1D63"/>
    <w:rsid w:val="006F7B93"/>
    <w:rsid w:val="00724EDB"/>
    <w:rsid w:val="00793006"/>
    <w:rsid w:val="00796243"/>
    <w:rsid w:val="007A1CA3"/>
    <w:rsid w:val="007A2504"/>
    <w:rsid w:val="007C610B"/>
    <w:rsid w:val="007F6F44"/>
    <w:rsid w:val="008230A5"/>
    <w:rsid w:val="00840E2A"/>
    <w:rsid w:val="00851514"/>
    <w:rsid w:val="00860B41"/>
    <w:rsid w:val="00871F8D"/>
    <w:rsid w:val="00893196"/>
    <w:rsid w:val="00897EB3"/>
    <w:rsid w:val="008A0427"/>
    <w:rsid w:val="008A29D2"/>
    <w:rsid w:val="008F10F4"/>
    <w:rsid w:val="009713C8"/>
    <w:rsid w:val="009F18D3"/>
    <w:rsid w:val="009F2CD3"/>
    <w:rsid w:val="009F6737"/>
    <w:rsid w:val="009F685A"/>
    <w:rsid w:val="00A027E0"/>
    <w:rsid w:val="00A4166C"/>
    <w:rsid w:val="00A45020"/>
    <w:rsid w:val="00A6239B"/>
    <w:rsid w:val="00A72934"/>
    <w:rsid w:val="00A735DD"/>
    <w:rsid w:val="00A748A4"/>
    <w:rsid w:val="00AA573B"/>
    <w:rsid w:val="00AB17B2"/>
    <w:rsid w:val="00B411F9"/>
    <w:rsid w:val="00B531AB"/>
    <w:rsid w:val="00BA4170"/>
    <w:rsid w:val="00BC770B"/>
    <w:rsid w:val="00BD3392"/>
    <w:rsid w:val="00BD3ED4"/>
    <w:rsid w:val="00BF5125"/>
    <w:rsid w:val="00C05C50"/>
    <w:rsid w:val="00C2043E"/>
    <w:rsid w:val="00C641F2"/>
    <w:rsid w:val="00C74798"/>
    <w:rsid w:val="00C8469D"/>
    <w:rsid w:val="00C9247F"/>
    <w:rsid w:val="00CC700E"/>
    <w:rsid w:val="00D10109"/>
    <w:rsid w:val="00D14921"/>
    <w:rsid w:val="00D227F7"/>
    <w:rsid w:val="00D42E93"/>
    <w:rsid w:val="00D46A52"/>
    <w:rsid w:val="00D62A69"/>
    <w:rsid w:val="00D70584"/>
    <w:rsid w:val="00DA636E"/>
    <w:rsid w:val="00DB199B"/>
    <w:rsid w:val="00DB74C9"/>
    <w:rsid w:val="00DD6AE9"/>
    <w:rsid w:val="00E065A9"/>
    <w:rsid w:val="00E20BBC"/>
    <w:rsid w:val="00E36035"/>
    <w:rsid w:val="00E63346"/>
    <w:rsid w:val="00E8331E"/>
    <w:rsid w:val="00E91EC6"/>
    <w:rsid w:val="00E955DF"/>
    <w:rsid w:val="00EB6396"/>
    <w:rsid w:val="00EE4A27"/>
    <w:rsid w:val="00EF27F3"/>
    <w:rsid w:val="00F0174F"/>
    <w:rsid w:val="00F13333"/>
    <w:rsid w:val="00F343B3"/>
    <w:rsid w:val="00F51DED"/>
    <w:rsid w:val="00F53327"/>
    <w:rsid w:val="00F7552B"/>
    <w:rsid w:val="00F858F0"/>
    <w:rsid w:val="00FA3B2B"/>
    <w:rsid w:val="00FA4218"/>
    <w:rsid w:val="00FB4B05"/>
    <w:rsid w:val="00FC00B8"/>
    <w:rsid w:val="00FC6D6F"/>
    <w:rsid w:val="00FF2044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BD25"/>
  <w15:chartTrackingRefBased/>
  <w15:docId w15:val="{5DB6186A-9090-4292-8491-444B196B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1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6A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1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196"/>
    <w:rPr>
      <w:sz w:val="20"/>
      <w:szCs w:val="20"/>
    </w:rPr>
  </w:style>
  <w:style w:type="character" w:styleId="a8">
    <w:name w:val="Hyperlink"/>
    <w:basedOn w:val="a0"/>
    <w:uiPriority w:val="99"/>
    <w:unhideWhenUsed/>
    <w:rsid w:val="00DD6AE9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D6AE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0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5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陳閔志</cp:lastModifiedBy>
  <cp:revision>72</cp:revision>
  <cp:lastPrinted>2023-03-09T02:43:00Z</cp:lastPrinted>
  <dcterms:created xsi:type="dcterms:W3CDTF">2021-12-16T06:30:00Z</dcterms:created>
  <dcterms:modified xsi:type="dcterms:W3CDTF">2023-03-13T07:37:00Z</dcterms:modified>
</cp:coreProperties>
</file>